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6"/>
        <w:jc w:val="both"/>
        <w:rPr>
          <w:rFonts w:hint="eastAsia" w:ascii="Times New Roman" w:eastAsia="黑体"/>
        </w:rPr>
      </w:pPr>
      <w:bookmarkStart w:id="3" w:name="_GoBack"/>
      <w:bookmarkEnd w:id="3"/>
      <w:bookmarkStart w:id="0" w:name="发文字号"/>
    </w:p>
    <w:p>
      <w:pPr>
        <w:pStyle w:val="46"/>
        <w:jc w:val="both"/>
        <w:rPr>
          <w:rFonts w:hint="eastAsia" w:ascii="Times New Roman" w:eastAsia="黑体"/>
        </w:rPr>
      </w:pPr>
    </w:p>
    <w:p>
      <w:pPr>
        <w:pStyle w:val="46"/>
        <w:rPr>
          <w:rFonts w:hint="eastAsia"/>
        </w:rPr>
      </w:pPr>
      <w:r>
        <w:rPr>
          <w:rFonts w:hint="eastAsia"/>
          <w:lang/>
        </w:rPr>
        <w:pict>
          <v:shape id="_x0000_s1034" o:spid="_x0000_s1034" o:spt="202" type="#_x0000_t202" style="position:absolute;left:0pt;margin-left:5.25pt;margin-top:181.45pt;height:99.25pt;width:433.8pt;mso-position-vertical-relative:page;z-index:251659264;mso-width-relative:page;mso-height-relative:page;" filled="f" stroked="f" coordsize="21600,21600" o:allowoverlap="f">
            <v:path/>
            <v:fill on="f" focussize="0,0"/>
            <v:stroke on="f"/>
            <v:imagedata o:title=""/>
            <o:lock v:ext="edit"/>
            <v:textbox inset="0mm,0mm,0mm,0mm">
              <w:txbxContent>
                <w:p>
                  <w:pPr>
                    <w:snapToGrid w:val="0"/>
                    <w:rPr>
                      <w:rFonts w:hint="eastAsia" w:ascii="方正小标宋简体" w:hAnsi="华文中宋" w:eastAsia="方正小标宋简体"/>
                      <w:color w:val="000000"/>
                      <w:w w:val="50"/>
                      <w:sz w:val="2"/>
                      <w:szCs w:val="142"/>
                    </w:rPr>
                  </w:pPr>
                </w:p>
                <w:p>
                  <w:pPr>
                    <w:jc w:val="center"/>
                    <w:rPr>
                      <w:color w:val="FF0000"/>
                      <w:spacing w:val="-8"/>
                    </w:rPr>
                  </w:pPr>
                  <w:r>
                    <w:rPr>
                      <w:rFonts w:hint="eastAsia" w:ascii="方正小标宋简体" w:hAnsi="华文中宋" w:eastAsia="方正小标宋简体"/>
                      <w:color w:val="FF0000"/>
                      <w:spacing w:val="-8"/>
                      <w:w w:val="50"/>
                      <w:sz w:val="118"/>
                      <w:szCs w:val="142"/>
                    </w:rPr>
                    <w:t>烟台市芝罘区人民政府办公室文件</w:t>
                  </w:r>
                </w:p>
                <w:p/>
              </w:txbxContent>
            </v:textbox>
          </v:shape>
        </w:pict>
      </w:r>
    </w:p>
    <w:p>
      <w:pPr>
        <w:pStyle w:val="46"/>
        <w:rPr>
          <w:rFonts w:hint="eastAsia"/>
        </w:rPr>
      </w:pPr>
    </w:p>
    <w:p>
      <w:pPr>
        <w:pStyle w:val="46"/>
        <w:rPr>
          <w:rFonts w:hint="eastAsia"/>
        </w:rPr>
      </w:pPr>
    </w:p>
    <w:p>
      <w:pPr>
        <w:pStyle w:val="46"/>
        <w:rPr>
          <w:rFonts w:hint="eastAsia"/>
        </w:rPr>
      </w:pPr>
    </w:p>
    <w:p>
      <w:pPr>
        <w:pStyle w:val="46"/>
        <w:tabs>
          <w:tab w:val="left" w:pos="8861"/>
        </w:tabs>
        <w:rPr>
          <w:rFonts w:hint="eastAsia"/>
        </w:rPr>
      </w:pPr>
    </w:p>
    <w:bookmarkEnd w:id="0"/>
    <w:p>
      <w:pPr>
        <w:pStyle w:val="46"/>
        <w:ind w:right="-3" w:rightChars="-1"/>
        <w:rPr>
          <w:rFonts w:ascii="Times New Roman"/>
          <w:color w:val="000000"/>
        </w:rPr>
      </w:pPr>
      <w:bookmarkStart w:id="1" w:name="签发人"/>
      <w:bookmarkEnd w:id="1"/>
      <w:r>
        <w:rPr>
          <w:rFonts w:ascii="Times New Roman"/>
          <w:color w:val="000000"/>
          <w:lang/>
        </w:rPr>
        <w:pict>
          <v:line id="_x0000_s1132" o:spid="_x0000_s1132" o:spt="20" style="position:absolute;left:0pt;margin-left:0pt;margin-top:354.65pt;height:0pt;width:442.2pt;mso-position-vertical-relative:page;z-index:251660288;mso-width-relative:page;mso-height-relative:page;" filled="f" stroked="t" coordsize="21600,21600" o:allowoverlap="f">
            <v:path arrowok="t"/>
            <v:fill on="f" focussize="0,0"/>
            <v:stroke weight="1.25pt" color="#FF0000"/>
            <v:imagedata o:title=""/>
            <o:lock v:ext="edit"/>
          </v:line>
        </w:pict>
      </w:r>
      <w:r>
        <w:rPr>
          <w:rFonts w:ascii="Times New Roman"/>
          <w:color w:val="000000"/>
        </w:rPr>
        <w:t>烟芝政办</w:t>
      </w:r>
      <w:r>
        <w:rPr>
          <w:rFonts w:hint="eastAsia" w:ascii="Times New Roman"/>
          <w:color w:val="000000"/>
        </w:rPr>
        <w:t>字</w:t>
      </w:r>
      <w:r>
        <w:rPr>
          <w:rFonts w:ascii="Times New Roman"/>
          <w:color w:val="000000"/>
        </w:rPr>
        <w:t>〔20</w:t>
      </w:r>
      <w:r>
        <w:rPr>
          <w:rFonts w:hint="eastAsia" w:ascii="Times New Roman"/>
          <w:color w:val="000000"/>
        </w:rPr>
        <w:t>22</w:t>
      </w:r>
      <w:r>
        <w:rPr>
          <w:rFonts w:ascii="Times New Roman"/>
          <w:color w:val="000000"/>
        </w:rPr>
        <w:t>〕</w:t>
      </w:r>
      <w:r>
        <w:rPr>
          <w:rFonts w:hint="eastAsia" w:ascii="Times New Roman"/>
          <w:color w:val="000000"/>
        </w:rPr>
        <w:t>5</w:t>
      </w:r>
      <w:r>
        <w:rPr>
          <w:rFonts w:ascii="Times New Roman"/>
          <w:color w:val="000000"/>
        </w:rPr>
        <w:t>号</w:t>
      </w:r>
    </w:p>
    <w:p>
      <w:pPr>
        <w:snapToGrid w:val="0"/>
        <w:jc w:val="center"/>
        <w:rPr>
          <w:rFonts w:hint="eastAsia" w:ascii="仿宋_GB2312"/>
          <w:szCs w:val="32"/>
        </w:rPr>
      </w:pPr>
    </w:p>
    <w:p>
      <w:pPr>
        <w:snapToGrid w:val="0"/>
        <w:jc w:val="center"/>
        <w:rPr>
          <w:rFonts w:hint="eastAsia" w:ascii="仿宋_GB2312"/>
          <w:sz w:val="46"/>
          <w:szCs w:val="44"/>
        </w:rPr>
      </w:pPr>
    </w:p>
    <w:p>
      <w:pPr>
        <w:snapToGrid w:val="0"/>
        <w:jc w:val="center"/>
        <w:rPr>
          <w:rFonts w:eastAsia="方正小标宋简体"/>
          <w:color w:val="000000"/>
          <w:sz w:val="44"/>
          <w:szCs w:val="44"/>
        </w:rPr>
      </w:pPr>
      <w:r>
        <w:rPr>
          <w:rFonts w:eastAsia="方正小标宋简体"/>
          <w:color w:val="000000"/>
          <w:sz w:val="44"/>
          <w:szCs w:val="44"/>
        </w:rPr>
        <w:t>烟台市芝罘区人民政府办公室</w:t>
      </w:r>
    </w:p>
    <w:p>
      <w:pPr>
        <w:snapToGrid w:val="0"/>
        <w:jc w:val="center"/>
        <w:rPr>
          <w:rFonts w:eastAsia="方正小标宋简体"/>
          <w:color w:val="000000"/>
          <w:sz w:val="44"/>
          <w:szCs w:val="44"/>
        </w:rPr>
      </w:pPr>
      <w:r>
        <w:rPr>
          <w:rFonts w:eastAsia="方正小标宋简体"/>
          <w:color w:val="000000"/>
          <w:sz w:val="44"/>
          <w:szCs w:val="44"/>
        </w:rPr>
        <w:t>关于印发《</w:t>
      </w:r>
      <w:r>
        <w:rPr>
          <w:rFonts w:hint="eastAsia" w:eastAsia="方正小标宋简体"/>
          <w:color w:val="000000"/>
          <w:sz w:val="44"/>
          <w:szCs w:val="44"/>
        </w:rPr>
        <w:t>芝罘区2022年度“招商引资突破年”实施方案</w:t>
      </w:r>
      <w:r>
        <w:rPr>
          <w:rFonts w:eastAsia="方正小标宋简体"/>
          <w:color w:val="000000"/>
          <w:sz w:val="44"/>
          <w:szCs w:val="44"/>
        </w:rPr>
        <w:t>》的通知</w:t>
      </w:r>
    </w:p>
    <w:p>
      <w:pPr>
        <w:spacing w:line="560" w:lineRule="exact"/>
        <w:rPr>
          <w:color w:val="000000"/>
          <w:szCs w:val="32"/>
        </w:rPr>
      </w:pPr>
    </w:p>
    <w:p>
      <w:pPr>
        <w:rPr>
          <w:color w:val="000000"/>
          <w:szCs w:val="32"/>
        </w:rPr>
      </w:pPr>
      <w:r>
        <w:rPr>
          <w:color w:val="000000"/>
          <w:szCs w:val="32"/>
        </w:rPr>
        <w:t>各街道办事处、园区管委，区政府各部门，有关单位；</w:t>
      </w:r>
    </w:p>
    <w:p>
      <w:pPr>
        <w:adjustRightInd w:val="0"/>
        <w:ind w:firstLine="632" w:firstLineChars="200"/>
        <w:rPr>
          <w:color w:val="000000"/>
          <w:szCs w:val="32"/>
        </w:rPr>
      </w:pPr>
      <w:r>
        <w:rPr>
          <w:szCs w:val="32"/>
        </w:rPr>
        <w:t>《芝罘区2022年度“招商引资突破年”实施方案》已经区政府同意，现印发给你们，请认真组织实施。</w:t>
      </w:r>
    </w:p>
    <w:p>
      <w:pPr>
        <w:adjustRightInd w:val="0"/>
        <w:ind w:firstLine="512" w:firstLineChars="200"/>
        <w:rPr>
          <w:color w:val="000000"/>
          <w:szCs w:val="32"/>
        </w:rPr>
      </w:pPr>
      <w:r>
        <w:rPr>
          <w:sz w:val="26"/>
          <w:szCs w:val="32"/>
        </w:rPr>
        <w:t xml:space="preserve">     </w:t>
      </w:r>
      <w:r>
        <w:rPr>
          <w:szCs w:val="32"/>
        </w:rPr>
        <w:t xml:space="preserve">  </w:t>
      </w:r>
    </w:p>
    <w:p>
      <w:pPr>
        <w:tabs>
          <w:tab w:val="left" w:pos="8216"/>
        </w:tabs>
        <w:adjustRightInd w:val="0"/>
        <w:ind w:right="632" w:rightChars="200" w:firstLine="632" w:firstLineChars="200"/>
        <w:jc w:val="right"/>
        <w:rPr>
          <w:color w:val="000000"/>
          <w:szCs w:val="32"/>
        </w:rPr>
      </w:pPr>
      <w:r>
        <w:rPr>
          <w:color w:val="000000"/>
          <w:szCs w:val="32"/>
        </w:rPr>
        <w:t>烟台市芝罘区人民政府办公室</w:t>
      </w:r>
    </w:p>
    <w:p>
      <w:pPr>
        <w:adjustRightInd w:val="0"/>
        <w:ind w:right="632" w:rightChars="200" w:firstLine="5018" w:firstLineChars="1588"/>
        <w:rPr>
          <w:rFonts w:eastAsia="方正小标宋简体"/>
          <w:color w:val="000000"/>
          <w:sz w:val="36"/>
          <w:szCs w:val="36"/>
        </w:rPr>
      </w:pPr>
      <w:r>
        <w:rPr>
          <w:color w:val="000000"/>
          <w:szCs w:val="32"/>
        </w:rPr>
        <w:t>2022年</w:t>
      </w:r>
      <w:r>
        <w:rPr>
          <w:rFonts w:hint="eastAsia"/>
          <w:color w:val="000000"/>
          <w:szCs w:val="32"/>
        </w:rPr>
        <w:t>6</w:t>
      </w:r>
      <w:r>
        <w:rPr>
          <w:color w:val="000000"/>
          <w:szCs w:val="32"/>
        </w:rPr>
        <w:t>月</w:t>
      </w:r>
      <w:r>
        <w:rPr>
          <w:rFonts w:hint="eastAsia"/>
          <w:color w:val="000000"/>
          <w:szCs w:val="32"/>
        </w:rPr>
        <w:t>1</w:t>
      </w:r>
      <w:r>
        <w:rPr>
          <w:color w:val="000000"/>
          <w:szCs w:val="32"/>
        </w:rPr>
        <w:t>日</w:t>
      </w:r>
    </w:p>
    <w:p>
      <w:pPr>
        <w:adjustRightInd w:val="0"/>
        <w:ind w:firstLine="632" w:firstLineChars="200"/>
        <w:rPr>
          <w:szCs w:val="32"/>
        </w:rPr>
      </w:pPr>
      <w:r>
        <w:rPr>
          <w:szCs w:val="32"/>
        </w:rPr>
        <w:t>（此件公开发布）</w:t>
      </w:r>
    </w:p>
    <w:p>
      <w:pPr>
        <w:snapToGrid w:val="0"/>
        <w:rPr>
          <w:rFonts w:hint="eastAsia" w:eastAsia="方正小标宋简体"/>
          <w:color w:val="000000"/>
          <w:sz w:val="42"/>
          <w:szCs w:val="44"/>
        </w:rPr>
      </w:pPr>
    </w:p>
    <w:p>
      <w:pPr>
        <w:adjustRightInd w:val="0"/>
        <w:snapToGrid w:val="0"/>
        <w:jc w:val="center"/>
        <w:rPr>
          <w:rFonts w:eastAsia="方正小标宋简体"/>
          <w:bCs/>
          <w:sz w:val="44"/>
          <w:szCs w:val="44"/>
        </w:rPr>
      </w:pPr>
      <w:r>
        <w:rPr>
          <w:rFonts w:eastAsia="方正小标宋简体"/>
          <w:bCs/>
          <w:sz w:val="44"/>
          <w:szCs w:val="44"/>
        </w:rPr>
        <w:t>芝罘区2022年度“招商引资突破年”实施方案</w:t>
      </w:r>
    </w:p>
    <w:p>
      <w:pPr>
        <w:adjustRightInd w:val="0"/>
        <w:snapToGrid w:val="0"/>
        <w:rPr>
          <w:rFonts w:eastAsia="黑体"/>
          <w:bCs/>
          <w:sz w:val="44"/>
        </w:rPr>
      </w:pPr>
    </w:p>
    <w:p>
      <w:pPr>
        <w:adjustRightInd w:val="0"/>
        <w:ind w:firstLine="632" w:firstLineChars="200"/>
        <w:rPr>
          <w:bCs/>
        </w:rPr>
      </w:pPr>
      <w:r>
        <w:rPr>
          <w:bCs/>
        </w:rPr>
        <w:t>为实现“一核突破”的战略目标，全面贯彻落实区委、区政府的工作要求，区“双招双引”工作领导小组制定了全区2022年度“招商引资突破年”实施方案，</w:t>
      </w:r>
      <w:r>
        <w:t>实施过程中</w:t>
      </w:r>
      <w:r>
        <w:rPr>
          <w:bCs/>
        </w:rPr>
        <w:t>突出“立足产业、全面参与、强化服务”的理念，以此营造大练兵、大比武、大竞赛的浓厚工作氛围，推动更多投资规模大、辐射带动强、科技含量高、经济效益好的优质项目落户我区，力促我区招商引资和经济社会发展向更高层次迈进。</w:t>
      </w:r>
    </w:p>
    <w:p>
      <w:pPr>
        <w:adjustRightInd w:val="0"/>
        <w:ind w:firstLine="632" w:firstLineChars="200"/>
        <w:rPr>
          <w:rFonts w:eastAsia="黑体"/>
        </w:rPr>
      </w:pPr>
      <w:r>
        <w:rPr>
          <w:rFonts w:eastAsia="黑体"/>
        </w:rPr>
        <w:t>一、指导思想</w:t>
      </w:r>
    </w:p>
    <w:p>
      <w:pPr>
        <w:adjustRightInd w:val="0"/>
        <w:ind w:firstLine="648"/>
      </w:pPr>
      <w:r>
        <w:rPr>
          <w:bCs/>
        </w:rPr>
        <w:t>深入贯彻市委“1+233”工作体系和“12335”中心城区建设思路，加快落实全市“三明三强”大会精神和招商引资专题会议部署安排，</w:t>
      </w:r>
      <w:r>
        <w:t>坚持立足新发展阶段、贯彻新发展理念、融入新发展格局，抢抓区域全面经济伙伴关系协定（RCEP）、中日韩自贸区、黄河流域生态保护和高质量发展、胶东经济圈一体化等重大战略机遇，全面构建竞争力强劲的现代产业体系，围绕建链延链补链强链全力实施精准招引，实现招商引资数量规模、质量效益双提升，为率先基本建成现代化国际滨海强区奠定坚实基础。</w:t>
      </w:r>
    </w:p>
    <w:p>
      <w:pPr>
        <w:adjustRightInd w:val="0"/>
        <w:ind w:firstLine="632" w:firstLineChars="200"/>
        <w:rPr>
          <w:rFonts w:eastAsia="黑体"/>
          <w:bCs/>
        </w:rPr>
      </w:pPr>
      <w:r>
        <w:rPr>
          <w:rFonts w:eastAsia="黑体"/>
          <w:bCs/>
        </w:rPr>
        <w:t>二、总体目标</w:t>
      </w:r>
    </w:p>
    <w:p>
      <w:pPr>
        <w:adjustRightInd w:val="0"/>
        <w:ind w:firstLine="648"/>
        <w:rPr>
          <w:rFonts w:eastAsia="楷体_GB2312"/>
          <w:bCs/>
        </w:rPr>
      </w:pPr>
      <w:r>
        <w:rPr>
          <w:rFonts w:eastAsia="楷体_GB2312"/>
          <w:bCs/>
        </w:rPr>
        <w:t>（一）全区总体攻坚目标</w:t>
      </w:r>
    </w:p>
    <w:p>
      <w:pPr>
        <w:adjustRightInd w:val="0"/>
        <w:ind w:firstLine="648"/>
        <w:rPr>
          <w:bCs/>
        </w:rPr>
      </w:pPr>
      <w:r>
        <w:rPr>
          <w:b/>
        </w:rPr>
        <w:t>外资攻坚目标，</w:t>
      </w:r>
      <w:r>
        <w:rPr>
          <w:bCs/>
        </w:rPr>
        <w:t>全年合同使用外资77000万美元，实际使用外资28200万美元，其中制造业外资占比40%（11280万美元），日韩资外资占比10%（2820万美元），欧美外资占比5%（1410万美元）；</w:t>
      </w:r>
      <w:r>
        <w:rPr>
          <w:b/>
        </w:rPr>
        <w:t>市外内资攻坚目标，</w:t>
      </w:r>
      <w:r>
        <w:rPr>
          <w:bCs/>
        </w:rPr>
        <w:t>合同引进市外内资550亿元，实际到位市外内资174亿元，引进三类500强项目17个、过10亿元项目24个、过5亿元项目37个，省市重大活动签约项目31个。攻坚目标进度安排为每季度完成不低于全年攻坚目标总量的25%。</w:t>
      </w:r>
    </w:p>
    <w:p>
      <w:pPr>
        <w:adjustRightInd w:val="0"/>
        <w:ind w:firstLine="632" w:firstLineChars="200"/>
        <w:rPr>
          <w:rFonts w:eastAsia="楷体_GB2312"/>
          <w:bCs/>
        </w:rPr>
      </w:pPr>
      <w:r>
        <w:rPr>
          <w:rFonts w:eastAsia="楷体_GB2312"/>
          <w:bCs/>
        </w:rPr>
        <w:t>（二）园区攻坚目标</w:t>
      </w:r>
    </w:p>
    <w:p>
      <w:pPr>
        <w:adjustRightInd w:val="0"/>
        <w:ind w:firstLine="632" w:firstLineChars="200"/>
      </w:pPr>
      <w:r>
        <w:rPr>
          <w:bCs/>
        </w:rPr>
        <w:t>只楚园、卧龙园承担全区总体攻坚目标一定比例的攻坚任务（详见附件1），每季度完成的攻坚目标不低于全年任务总量的25%。</w:t>
      </w:r>
    </w:p>
    <w:p>
      <w:pPr>
        <w:adjustRightInd w:val="0"/>
        <w:ind w:firstLine="632" w:firstLineChars="200"/>
        <w:rPr>
          <w:rFonts w:eastAsia="楷体_GB2312"/>
          <w:bCs/>
        </w:rPr>
      </w:pPr>
      <w:r>
        <w:rPr>
          <w:rFonts w:eastAsia="楷体_GB2312"/>
          <w:bCs/>
        </w:rPr>
        <w:t>（三）区直部门单位攻坚目标</w:t>
      </w:r>
    </w:p>
    <w:p>
      <w:pPr>
        <w:adjustRightInd w:val="0"/>
        <w:ind w:firstLine="632" w:firstLineChars="200"/>
        <w:rPr>
          <w:bCs/>
        </w:rPr>
      </w:pPr>
      <w:r>
        <w:rPr>
          <w:b/>
          <w:bCs/>
        </w:rPr>
        <w:t>外资方面，</w:t>
      </w:r>
      <w:r>
        <w:rPr>
          <w:bCs/>
        </w:rPr>
        <w:t>按照全区攻坚工作目标总量，将11个部门分为三档：区投资促进中心和财金控股集团2个部门为一类部门；区发改局、工信局、住建局、商务局、文旅局、地方金融监管局6个部门为二类部门；区农业农村局、海洋渔业局、市场监管局3个部门为三类部门，分别承担全区总体攻坚目标一定比例的攻坚任务。（详见附件2）</w:t>
      </w:r>
    </w:p>
    <w:p>
      <w:pPr>
        <w:adjustRightInd w:val="0"/>
        <w:ind w:firstLine="632" w:firstLineChars="200"/>
        <w:rPr>
          <w:bCs/>
        </w:rPr>
      </w:pPr>
      <w:r>
        <w:rPr>
          <w:b/>
          <w:bCs/>
        </w:rPr>
        <w:t>市外内资方面，</w:t>
      </w:r>
      <w:r>
        <w:rPr>
          <w:bCs/>
        </w:rPr>
        <w:t>按照全区攻坚工作目标总量，将18个部门分为三档：区投资促进中心和财金控股集团2个部门为全区产业招商的核心力量，列为一类部门；区发改局、工信局、住建局、商务局、文旅局、地方金融监管局6个部门为“招商引资突破年”的中坚力量，列为二类部门；区财政局、人社局、农业农村局、海洋渔业局、卫生健康局、市场监管局、自然资源局、民政局、科技局、教体局10个部门为“招商引资突破年”的重要保障力量，列为三类部门；其他部门为鼓励招商部门，不承担具体的工作目标，鼓励提报符合我区产业发展方向的有效招商信息。</w:t>
      </w:r>
    </w:p>
    <w:p>
      <w:pPr>
        <w:adjustRightInd w:val="0"/>
        <w:ind w:firstLine="632" w:firstLineChars="200"/>
      </w:pPr>
      <w:r>
        <w:rPr>
          <w:bCs/>
        </w:rPr>
        <w:t>以上部门单位分别承担全区总体攻坚目标一定比例的攻坚任务（详见附件3），每季度完成的攻坚工作目标不低于全年任务总量的25%。</w:t>
      </w:r>
    </w:p>
    <w:p>
      <w:pPr>
        <w:pStyle w:val="8"/>
        <w:adjustRightInd w:val="0"/>
        <w:ind w:firstLine="632" w:firstLineChars="200"/>
        <w:rPr>
          <w:rFonts w:eastAsia="黑体"/>
          <w:b w:val="0"/>
        </w:rPr>
      </w:pPr>
      <w:r>
        <w:rPr>
          <w:rFonts w:eastAsia="黑体"/>
          <w:b w:val="0"/>
        </w:rPr>
        <w:t>三、攻坚举措</w:t>
      </w:r>
    </w:p>
    <w:p>
      <w:pPr>
        <w:adjustRightInd w:val="0"/>
        <w:ind w:firstLine="632" w:firstLineChars="200"/>
      </w:pPr>
      <w:r>
        <w:rPr>
          <w:rFonts w:eastAsia="楷体_GB2312"/>
        </w:rPr>
        <w:t>（一）“链长制”招商攻坚战。</w:t>
      </w:r>
      <w:r>
        <w:t>建立由区级领导挂帅“链长制”，确定重点产业链，明确链长、链办、链主企业，突出信息技术和智能制造、现代商贸金融、文化旅游等主导产业，做大做强海洋经济、医养健康等新兴产业；区投资促进中心和相关产业部门定期组织召开国资企业、民营骨干企业座谈会，推动以合资、并购、联合开发等形式，与三类500强企业及国内外行业领军企业开展合作。梳理重点招引目标企业，编制产业链精准招商地图，重点发展特色楼宇、总部园区、首店经济、体验式商街、金融及类金融等业态，充分激活主导产业的内生动力。</w:t>
      </w:r>
      <w:r>
        <w:rPr>
          <w:rFonts w:eastAsia="楷体_GB2312"/>
        </w:rPr>
        <w:t>（牵头单位：区投资促进中心；配合单位：区工信局、商务局、文旅局、市场监管局、地方金融监管局，各街道园区）</w:t>
      </w:r>
    </w:p>
    <w:p>
      <w:pPr>
        <w:adjustRightInd w:val="0"/>
        <w:ind w:firstLine="632" w:firstLineChars="200"/>
      </w:pPr>
      <w:r>
        <w:rPr>
          <w:rFonts w:eastAsia="楷体_GB2312"/>
        </w:rPr>
        <w:t>（二）机制创新攻坚战。</w:t>
      </w:r>
      <w:r>
        <w:t>加快推进区财金控股集团在北京、上海、深圳、济南设立独立法人运营公司，充分利用“四市四中心”的平台作用，联合区投资促进中心开展驻扎式常态化办公，大力实施市场拓展、投融资、基金合作、产业招商等，并逐步研究飞地招商模式，打造城市会客厅、企业加速器等；利用社会化招商团队，大力推行中介招商、基金招商、顾问招商、协会招商，聚焦重点国别、主导产业、大型企业，大力实施央企、国企上市公司对接行动计划，集中力量突破攻坚；同时，加快数智营商招商，利用深蓝灵犀数字产业大数据平台，配合各部门单位、街道园区做好辖区内的产业链链主企业及其上下游企业产业诊断、产业赋能和产业导入，实现项目、资金、技术、人才引进的高效融合和提升。</w:t>
      </w:r>
      <w:r>
        <w:rPr>
          <w:rFonts w:eastAsia="楷体_GB2312"/>
        </w:rPr>
        <w:t>（牵头单位：区投资促进中心、财金控股集团；</w:t>
      </w:r>
      <w:bookmarkStart w:id="2" w:name="_Hlk102201526"/>
      <w:r>
        <w:rPr>
          <w:rFonts w:eastAsia="楷体_GB2312"/>
        </w:rPr>
        <w:t>配合单位：相关产业部门及各街道园区</w:t>
      </w:r>
      <w:bookmarkEnd w:id="2"/>
      <w:r>
        <w:rPr>
          <w:rFonts w:eastAsia="楷体_GB2312"/>
        </w:rPr>
        <w:t>）</w:t>
      </w:r>
    </w:p>
    <w:p>
      <w:pPr>
        <w:adjustRightInd w:val="0"/>
        <w:ind w:firstLine="632" w:firstLineChars="200"/>
        <w:rPr>
          <w:rFonts w:eastAsia="楷体_GB2312"/>
        </w:rPr>
      </w:pPr>
      <w:r>
        <w:rPr>
          <w:rFonts w:eastAsia="楷体_GB2312"/>
        </w:rPr>
        <w:t>（三）日韩欧美招商攻坚战。</w:t>
      </w:r>
      <w:r>
        <w:t>突出日韩，狠抓欧美，聚焦RCEP、中欧投资协定、中日韩自贸区谈判、“碳达峰·碳中和”等战略机遇，实施以商招商。开展驻烟日韩、欧美投资企业走访调研行动，深化与驻烟日韩代表处、日韩大企业、大商社和欧美企业在华总部、企业互动交流和深度合作，定期举办企业联谊会、座谈会、项目论证会，深入挖掘市场信息，培育和引导增资扩股、技改扩能、退城进园等；积极研究分析，把RCEP的政策元素转化为日韩和东盟国家招商引资的政策红利，牢牢抓住“一带一路”、“上合组织”、“进博会”、“世博会”契机，以先进制造业和现代服务业为重点，推动日韩、欧美企业将更高端产品线、更关键环节落户芝罘，储备日韩欧美在谈项目10个以上。</w:t>
      </w:r>
      <w:r>
        <w:rPr>
          <w:rFonts w:eastAsia="楷体_GB2312"/>
        </w:rPr>
        <w:t>（牵头单位：区商务局、投资促进中心；配合单位：各街道园区）</w:t>
      </w:r>
    </w:p>
    <w:p>
      <w:pPr>
        <w:adjustRightInd w:val="0"/>
        <w:ind w:firstLine="632" w:firstLineChars="200"/>
      </w:pPr>
      <w:r>
        <w:rPr>
          <w:rFonts w:eastAsia="楷体_GB2312"/>
        </w:rPr>
        <w:t>（四）平台招引攻坚战。</w:t>
      </w:r>
      <w:r>
        <w:t>立足海上世界、幸福科创城、勤河和横河整治、中心城区改造等城市更新片区，深挖和利用区域资源禀赋，着力培育特色产业，鼓励联动式发展、差异化竞争。发挥展会招商作用，策划举办“双招双引”特色推介活动5场以上；积极开展小分队精干招商团队“走出去”，组织赴北京聚焦重点科研院所、总部经济、特色产业园、人才引进等精准攻坚，赴上海聚焦数字经济、物联网、智能制造等头部企业或跨国公司深度合作，赴深圳聚焦产业基金、融资租赁、科技双创、生物医药等新兴产业或上市公司全面对接，借助各地平台和中介机构持续攻坚，为高水平建设金融、商贸、文旅、数字经济、新兴产业“五个区域性中心”，全面构建起具有核心竞争力的现代产业体系建设夯实基础。</w:t>
      </w:r>
      <w:r>
        <w:rPr>
          <w:rFonts w:eastAsia="楷体_GB2312"/>
        </w:rPr>
        <w:t>（牵头单位：区委组织部，区投资促进中心、工信局、地方金融监管局、市场监管局、财金控股集团；配合单位：各街道园区）</w:t>
      </w:r>
    </w:p>
    <w:p>
      <w:pPr>
        <w:adjustRightInd w:val="0"/>
        <w:ind w:firstLine="632" w:firstLineChars="200"/>
        <w:rPr>
          <w:rFonts w:eastAsia="楷体_GB2312"/>
        </w:rPr>
      </w:pPr>
      <w:r>
        <w:rPr>
          <w:rFonts w:eastAsia="楷体_GB2312"/>
        </w:rPr>
        <w:t>（五）项目推进攻坚战。</w:t>
      </w:r>
      <w:r>
        <w:t>以在谈在推央企国企、三类500强项目等重点项目攻坚为主线，按照“在谈项目抓签约、签约项目抓注册、注册项目抓到资”的工作思路，打好市级“双招双引”挂图作战项目、省市重大活动签约项目、全区重点在谈项目三大“攻坚战”；充分发挥财政资金的引导放大作用，财政和国资平台公司共同发力，采取政府领投、市场跟投等方式，引导社会资本参与，支持重点产业集群培育、重点产业项目建设等，为全区高质量发展提供强有力的支撑。</w:t>
      </w:r>
      <w:r>
        <w:rPr>
          <w:rFonts w:eastAsia="楷体_GB2312"/>
        </w:rPr>
        <w:t>（牵头单位：区投资促进中心；配合单位：各相关部门、街道园区）</w:t>
      </w:r>
    </w:p>
    <w:p>
      <w:pPr>
        <w:adjustRightInd w:val="0"/>
        <w:ind w:firstLine="632" w:firstLineChars="200"/>
      </w:pPr>
      <w:r>
        <w:rPr>
          <w:rFonts w:eastAsia="楷体_GB2312"/>
        </w:rPr>
        <w:t>（六）</w:t>
      </w:r>
      <w:r>
        <w:rPr>
          <w:rFonts w:eastAsia="楷体_GB2312"/>
          <w:spacing w:val="5"/>
        </w:rPr>
        <w:t>涉企服务攻坚战。</w:t>
      </w:r>
      <w:r>
        <w:t>发挥“芝企通”平台和服务企业专员作用，以市场主体获得感为评价标准，广泛汇集内外资企业发展过程中存在的困难和问题，建立台账、逐项攻坚。落实审批容缺受理制度，开辟重点项目审批绿色通道，推进招商项目审批再提速。优化踏勘评审模式，大幅压缩固定资产投资项目审批时限。围绕项目推进过程中存在的困难和问题，通过提请区领导推动、提交区“双招双引”工作领导小组会议协商等方式予以解决，充分解决项目落地“最后一公里”的问题。</w:t>
      </w:r>
      <w:r>
        <w:rPr>
          <w:rFonts w:eastAsia="楷体_GB2312"/>
        </w:rPr>
        <w:t>（牵头单位：区发改局、行政审批服务局；配合单位：各相关部门、街道园区）</w:t>
      </w:r>
    </w:p>
    <w:p>
      <w:pPr>
        <w:adjustRightInd w:val="0"/>
        <w:ind w:firstLine="632" w:firstLineChars="200"/>
        <w:rPr>
          <w:rFonts w:eastAsia="黑体"/>
          <w:bCs/>
        </w:rPr>
      </w:pPr>
      <w:r>
        <w:rPr>
          <w:rFonts w:eastAsia="黑体"/>
          <w:bCs/>
        </w:rPr>
        <w:t>四、保障机制</w:t>
      </w:r>
    </w:p>
    <w:p>
      <w:pPr>
        <w:adjustRightInd w:val="0"/>
        <w:ind w:firstLine="648"/>
        <w:rPr>
          <w:bCs/>
        </w:rPr>
      </w:pPr>
      <w:r>
        <w:rPr>
          <w:b/>
        </w:rPr>
        <w:t>（一）区投资促进中心</w:t>
      </w:r>
      <w:r>
        <w:rPr>
          <w:bCs/>
        </w:rPr>
        <w:t>负责组织开展重大招商活动，建立产业资源库、招引企业信息库、项目信息库，牵头包装、引进重大产业项目，制作招商宣传片、投资指南、产业招商手册等一揽子招商“工具”资料。同时，做好项目推进的调度和督导，实行挂图作战，对需要给予重大扶持政策的招商项目启动准入预审评估决策程序。</w:t>
      </w:r>
    </w:p>
    <w:p>
      <w:pPr>
        <w:adjustRightInd w:val="0"/>
        <w:ind w:firstLine="648"/>
        <w:rPr>
          <w:bCs/>
        </w:rPr>
      </w:pPr>
      <w:r>
        <w:rPr>
          <w:b/>
        </w:rPr>
        <w:t>（二）区商务局</w:t>
      </w:r>
      <w:r>
        <w:rPr>
          <w:bCs/>
        </w:rPr>
        <w:t>负责做好全区外商投资工作的指导和管理，牵头拟订外商投资发展规划和政策，做好外商投资有关基础数据的统计和分析。</w:t>
      </w:r>
    </w:p>
    <w:p>
      <w:pPr>
        <w:adjustRightInd w:val="0"/>
        <w:ind w:firstLine="648"/>
        <w:rPr>
          <w:bCs/>
        </w:rPr>
      </w:pPr>
      <w:r>
        <w:rPr>
          <w:b/>
        </w:rPr>
        <w:t>（三）各产业牵头部门</w:t>
      </w:r>
      <w:r>
        <w:rPr>
          <w:bCs/>
        </w:rPr>
        <w:t>落实“管产业必须管招商”的工作责任，负责各自产业的招商引资政策研究，做好省“十强”产业、全市“9+N”产业集群优势产业提升发展分析、项目落地精准协调服务等工作，通过抓实抓牢产业链招商，推动全区高质量发展。</w:t>
      </w:r>
    </w:p>
    <w:p>
      <w:pPr>
        <w:adjustRightInd w:val="0"/>
        <w:ind w:firstLine="648"/>
        <w:rPr>
          <w:bCs/>
          <w:highlight w:val="yellow"/>
        </w:rPr>
      </w:pPr>
      <w:r>
        <w:rPr>
          <w:b/>
        </w:rPr>
        <w:t>（四）两个园区</w:t>
      </w:r>
      <w:r>
        <w:rPr>
          <w:bCs/>
        </w:rPr>
        <w:t>落实“属地管理”第一责任，全力做好本辖区经济发展和服务工作。要全面盘清主导产业家底，分析研究辖区内产业链主企业，并根据闲置土地和楼宇资源，负责研究产业导入方向和扩大对外合作，开展项目信息提报、引导优势产业科学发展、项目落地精准协调等服务工作，做好招商推介和产业导入、提升等工作。</w:t>
      </w:r>
    </w:p>
    <w:p>
      <w:pPr>
        <w:adjustRightInd w:val="0"/>
        <w:ind w:firstLine="648"/>
        <w:rPr>
          <w:bCs/>
          <w:highlight w:val="yellow"/>
        </w:rPr>
      </w:pPr>
      <w:r>
        <w:rPr>
          <w:b/>
        </w:rPr>
        <w:t>（五）其他部门、街道</w:t>
      </w:r>
      <w:r>
        <w:rPr>
          <w:bCs/>
        </w:rPr>
        <w:t>按照区委、区政府《关于建立“区街一体、融入下沉”全面帮促工作机制的意见》要求，落实区级领导分包街道工作制度，鼓励部门和街道积极参与“招商引资突破年”，最大限度提升辖区经济活力，增强发展动能。各街道要梳理辖区主导产业发展方向和摸好闲置土地、楼宇等资源家底，积极配合产业牵头部门做好产业调研论证和项目落地服务工作，形成上下联动机制和全员招商的工作氛围。</w:t>
      </w:r>
    </w:p>
    <w:p>
      <w:pPr>
        <w:adjustRightInd w:val="0"/>
        <w:ind w:firstLine="632" w:firstLineChars="200"/>
        <w:rPr>
          <w:rFonts w:eastAsia="黑体"/>
          <w:bCs/>
        </w:rPr>
      </w:pPr>
      <w:r>
        <w:rPr>
          <w:rFonts w:eastAsia="黑体"/>
          <w:bCs/>
        </w:rPr>
        <w:t>五、评价方式</w:t>
      </w:r>
    </w:p>
    <w:p>
      <w:pPr>
        <w:adjustRightInd w:val="0"/>
        <w:ind w:firstLine="640"/>
        <w:rPr>
          <w:bCs/>
        </w:rPr>
      </w:pPr>
      <w:r>
        <w:rPr>
          <w:rFonts w:eastAsia="楷体_GB2312"/>
          <w:bCs/>
        </w:rPr>
        <w:t>（一）健全完善招商引资结果评价体系。</w:t>
      </w:r>
      <w:r>
        <w:rPr>
          <w:bCs/>
        </w:rPr>
        <w:t>在全区设立“招商引资和服务经济工作”擂台赛，实施每周调度、每月督导、每季度评比、每半年总结评价的工作制度，通过“招商引资突破年”工作周报、区365督考中心“蓝黄红”标识等措施，在全区范围内通报情况。鼓励街道和部分部门积极主动参与攻坚活动，对主动作为、有突出贡献的，将予以全区通报表扬。</w:t>
      </w:r>
    </w:p>
    <w:p>
      <w:pPr>
        <w:adjustRightInd w:val="0"/>
        <w:ind w:firstLine="640"/>
        <w:rPr>
          <w:rFonts w:eastAsia="仿宋"/>
          <w:bCs/>
        </w:rPr>
      </w:pPr>
      <w:r>
        <w:rPr>
          <w:rFonts w:eastAsia="楷体_GB2312"/>
          <w:bCs/>
        </w:rPr>
        <w:t>（二）工作实效与干部执行力档案挂钩</w:t>
      </w:r>
      <w:r>
        <w:rPr>
          <w:bCs/>
        </w:rPr>
        <w:t>。区“双招双引”工作领导小组负责对完成攻坚目标进度、重大项目落地和特色亮点工作进行集中征集汇总和评比展示，并由区委组织部将各部门、各街道园区“招商引资突破年”开展的提升经济服务工作情况记入党政主要负责同志干部执行力档案。</w:t>
      </w:r>
    </w:p>
    <w:p>
      <w:pPr>
        <w:adjustRightInd w:val="0"/>
        <w:ind w:firstLine="640"/>
        <w:rPr>
          <w:rFonts w:eastAsia="仿宋"/>
          <w:bCs/>
        </w:rPr>
      </w:pPr>
    </w:p>
    <w:p>
      <w:pPr>
        <w:adjustRightInd w:val="0"/>
        <w:ind w:firstLine="640"/>
        <w:rPr>
          <w:bCs/>
        </w:rPr>
      </w:pPr>
      <w:r>
        <w:rPr>
          <w:bCs/>
        </w:rPr>
        <w:t>附件：1.园区“招商引资突破年”内外资攻坚目标</w:t>
      </w:r>
    </w:p>
    <w:p>
      <w:pPr>
        <w:adjustRightInd w:val="0"/>
        <w:ind w:firstLine="1608" w:firstLineChars="509"/>
        <w:rPr>
          <w:bCs/>
        </w:rPr>
      </w:pPr>
      <w:r>
        <w:rPr>
          <w:bCs/>
        </w:rPr>
        <w:t>2.区直部门单位“招商引资突破年”外资攻坚目标</w:t>
      </w:r>
    </w:p>
    <w:p>
      <w:pPr>
        <w:adjustRightInd w:val="0"/>
        <w:ind w:firstLine="1608" w:firstLineChars="509"/>
        <w:rPr>
          <w:sz w:val="28"/>
          <w:szCs w:val="28"/>
        </w:rPr>
      </w:pPr>
      <w:r>
        <w:rPr>
          <w:bCs/>
        </w:rPr>
        <w:t>3.区直部门单位“招商引资突破年”内资攻坚目标</w:t>
      </w:r>
    </w:p>
    <w:p>
      <w:pPr>
        <w:ind w:left="28" w:leftChars="9" w:firstLine="1146" w:firstLineChars="415"/>
        <w:rPr>
          <w:rFonts w:hint="eastAsia"/>
          <w:sz w:val="28"/>
          <w:szCs w:val="28"/>
        </w:rPr>
      </w:pPr>
    </w:p>
    <w:p>
      <w:pPr>
        <w:ind w:left="28" w:leftChars="9" w:firstLine="1146" w:firstLineChars="415"/>
        <w:rPr>
          <w:rFonts w:hint="eastAsia"/>
          <w:sz w:val="28"/>
          <w:szCs w:val="28"/>
        </w:rPr>
      </w:pPr>
    </w:p>
    <w:p>
      <w:pPr>
        <w:ind w:left="28" w:leftChars="9" w:firstLine="1146" w:firstLineChars="415"/>
        <w:rPr>
          <w:rFonts w:hint="eastAsia"/>
          <w:sz w:val="28"/>
          <w:szCs w:val="28"/>
        </w:rPr>
      </w:pPr>
    </w:p>
    <w:p>
      <w:pPr>
        <w:ind w:left="28" w:leftChars="9" w:firstLine="1146" w:firstLineChars="415"/>
        <w:rPr>
          <w:rFonts w:hint="eastAsia"/>
          <w:sz w:val="28"/>
          <w:szCs w:val="28"/>
        </w:rPr>
      </w:pPr>
    </w:p>
    <w:p>
      <w:pPr>
        <w:ind w:left="28" w:leftChars="9" w:firstLine="1146" w:firstLineChars="415"/>
        <w:rPr>
          <w:rFonts w:hint="eastAsia"/>
          <w:sz w:val="28"/>
          <w:szCs w:val="28"/>
        </w:rPr>
      </w:pPr>
    </w:p>
    <w:p>
      <w:pPr>
        <w:ind w:left="28" w:leftChars="9" w:firstLine="1146" w:firstLineChars="415"/>
        <w:rPr>
          <w:rFonts w:hint="eastAsia"/>
          <w:sz w:val="28"/>
          <w:szCs w:val="28"/>
        </w:rPr>
      </w:pPr>
    </w:p>
    <w:p>
      <w:pPr>
        <w:ind w:left="28" w:leftChars="9" w:firstLine="1146" w:firstLineChars="415"/>
        <w:rPr>
          <w:rFonts w:hint="eastAsia"/>
          <w:sz w:val="28"/>
          <w:szCs w:val="28"/>
        </w:rPr>
      </w:pPr>
    </w:p>
    <w:p>
      <w:pPr>
        <w:ind w:left="28" w:leftChars="9" w:firstLine="1146" w:firstLineChars="415"/>
        <w:rPr>
          <w:rFonts w:hint="eastAsia"/>
          <w:sz w:val="28"/>
          <w:szCs w:val="28"/>
        </w:rPr>
      </w:pPr>
    </w:p>
    <w:p>
      <w:pPr>
        <w:ind w:left="28" w:leftChars="9" w:firstLine="1146" w:firstLineChars="415"/>
        <w:rPr>
          <w:rFonts w:hint="eastAsia"/>
          <w:sz w:val="28"/>
          <w:szCs w:val="28"/>
        </w:rPr>
      </w:pPr>
    </w:p>
    <w:p>
      <w:pPr>
        <w:ind w:left="28" w:leftChars="9" w:firstLine="1146" w:firstLineChars="415"/>
        <w:rPr>
          <w:rFonts w:hint="eastAsia"/>
          <w:sz w:val="28"/>
          <w:szCs w:val="28"/>
        </w:rPr>
      </w:pPr>
    </w:p>
    <w:p>
      <w:pPr>
        <w:ind w:left="28" w:leftChars="9" w:firstLine="1146" w:firstLineChars="415"/>
        <w:rPr>
          <w:rFonts w:hint="eastAsia"/>
          <w:sz w:val="28"/>
          <w:szCs w:val="28"/>
        </w:rPr>
      </w:pPr>
    </w:p>
    <w:p>
      <w:pPr>
        <w:ind w:left="28" w:leftChars="9" w:firstLine="1146" w:firstLineChars="415"/>
        <w:rPr>
          <w:rFonts w:hint="eastAsia"/>
          <w:sz w:val="28"/>
          <w:szCs w:val="28"/>
        </w:rPr>
      </w:pPr>
    </w:p>
    <w:p>
      <w:pPr>
        <w:ind w:left="28" w:leftChars="9" w:firstLine="1146" w:firstLineChars="415"/>
        <w:rPr>
          <w:rFonts w:hint="eastAsia"/>
          <w:sz w:val="28"/>
          <w:szCs w:val="28"/>
        </w:rPr>
      </w:pPr>
    </w:p>
    <w:p>
      <w:pPr>
        <w:ind w:left="28" w:leftChars="9" w:firstLine="1146" w:firstLineChars="415"/>
        <w:rPr>
          <w:sz w:val="28"/>
          <w:szCs w:val="28"/>
        </w:rPr>
        <w:sectPr>
          <w:headerReference r:id="rId3" w:type="default"/>
          <w:footerReference r:id="rId5" w:type="default"/>
          <w:headerReference r:id="rId4" w:type="even"/>
          <w:footerReference r:id="rId6" w:type="even"/>
          <w:pgSz w:w="11906" w:h="16838"/>
          <w:pgMar w:top="2155" w:right="1531" w:bottom="2155" w:left="1531" w:header="851" w:footer="1871" w:gutter="0"/>
          <w:cols w:space="720" w:num="1"/>
          <w:docGrid w:type="linesAndChars" w:linePitch="569" w:charSpace="-849"/>
        </w:sectPr>
      </w:pPr>
    </w:p>
    <w:p>
      <w:pPr>
        <w:adjustRightInd w:val="0"/>
        <w:rPr>
          <w:rFonts w:hint="eastAsia" w:eastAsia="黑体"/>
          <w:bCs/>
        </w:rPr>
      </w:pPr>
      <w:r>
        <w:rPr>
          <w:rFonts w:eastAsia="黑体"/>
          <w:bCs/>
          <w:lang/>
        </w:rPr>
        <w:pict>
          <v:shape id="_x0000_s1304" o:spid="_x0000_s1304" o:spt="202" type="#_x0000_t202" style="position:absolute;left:0pt;margin-left:-7.15pt;margin-top:-35.95pt;height:28.45pt;width:79pt;z-index:251663360;mso-width-relative:page;mso-height-relative:page;" filled="f" stroked="f" coordsize="21600,21600">
            <v:path/>
            <v:fill on="f" focussize="0,0"/>
            <v:stroke on="f"/>
            <v:imagedata o:title=""/>
            <o:lock v:ext="edit"/>
            <v:textbox>
              <w:txbxContent>
                <w:p>
                  <w:pPr>
                    <w:rPr>
                      <w:sz w:val="28"/>
                      <w:szCs w:val="28"/>
                    </w:rPr>
                  </w:pPr>
                  <w:r>
                    <w:rPr>
                      <w:sz w:val="28"/>
                      <w:szCs w:val="28"/>
                    </w:rPr>
                    <w:t>—</w:t>
                  </w:r>
                  <w:r>
                    <w:rPr>
                      <w:rFonts w:hint="eastAsia"/>
                      <w:sz w:val="28"/>
                      <w:szCs w:val="28"/>
                    </w:rPr>
                    <w:t xml:space="preserve"> </w:t>
                  </w:r>
                  <w:r>
                    <w:rPr>
                      <w:sz w:val="28"/>
                      <w:szCs w:val="28"/>
                    </w:rPr>
                    <w:t>10</w:t>
                  </w:r>
                  <w:r>
                    <w:rPr>
                      <w:rFonts w:hint="eastAsia"/>
                      <w:sz w:val="28"/>
                      <w:szCs w:val="28"/>
                    </w:rPr>
                    <w:t xml:space="preserve"> </w:t>
                  </w:r>
                  <w:r>
                    <w:rPr>
                      <w:sz w:val="28"/>
                      <w:szCs w:val="28"/>
                    </w:rPr>
                    <w:t>—</w:t>
                  </w:r>
                </w:p>
                <w:p/>
              </w:txbxContent>
            </v:textbox>
          </v:shape>
        </w:pict>
      </w:r>
      <w:r>
        <w:rPr>
          <w:rFonts w:eastAsia="黑体"/>
          <w:bCs/>
        </w:rPr>
        <w:t>附件1</w:t>
      </w:r>
    </w:p>
    <w:p>
      <w:pPr>
        <w:adjustRightInd w:val="0"/>
        <w:jc w:val="center"/>
        <w:rPr>
          <w:rFonts w:eastAsia="方正小标宋简体"/>
          <w:bCs/>
          <w:sz w:val="44"/>
          <w:szCs w:val="44"/>
        </w:rPr>
      </w:pPr>
      <w:r>
        <w:rPr>
          <w:rFonts w:eastAsia="方正小标宋简体"/>
          <w:bCs/>
          <w:sz w:val="44"/>
          <w:szCs w:val="44"/>
        </w:rPr>
        <w:t>园区“招商引资突破年”内外资攻坚目标</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1011"/>
        <w:gridCol w:w="1045"/>
        <w:gridCol w:w="1144"/>
        <w:gridCol w:w="1156"/>
        <w:gridCol w:w="1133"/>
        <w:gridCol w:w="1222"/>
        <w:gridCol w:w="1223"/>
        <w:gridCol w:w="1223"/>
        <w:gridCol w:w="1223"/>
        <w:gridCol w:w="1223"/>
        <w:gridCol w:w="1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3" w:hRule="exact"/>
        </w:trPr>
        <w:tc>
          <w:tcPr>
            <w:tcW w:w="1200" w:type="dxa"/>
            <w:vMerge w:val="restart"/>
            <w:tcBorders>
              <w:top w:val="single" w:color="auto" w:sz="4" w:space="0"/>
              <w:left w:val="single" w:color="auto" w:sz="4" w:space="0"/>
              <w:right w:val="single" w:color="auto" w:sz="4" w:space="0"/>
            </w:tcBorders>
            <w:noWrap w:val="0"/>
            <w:vAlign w:val="center"/>
          </w:tcPr>
          <w:p>
            <w:pPr>
              <w:snapToGrid w:val="0"/>
              <w:jc w:val="center"/>
              <w:rPr>
                <w:rFonts w:eastAsia="黑体"/>
                <w:sz w:val="24"/>
              </w:rPr>
            </w:pPr>
            <w:r>
              <w:rPr>
                <w:rFonts w:eastAsia="黑体"/>
                <w:sz w:val="24"/>
              </w:rPr>
              <w:t>街道</w:t>
            </w:r>
          </w:p>
          <w:p>
            <w:pPr>
              <w:snapToGrid w:val="0"/>
              <w:jc w:val="center"/>
              <w:rPr>
                <w:rFonts w:eastAsia="黑体"/>
                <w:sz w:val="24"/>
              </w:rPr>
            </w:pPr>
            <w:r>
              <w:rPr>
                <w:rFonts w:eastAsia="黑体"/>
                <w:sz w:val="24"/>
              </w:rPr>
              <w:t>园区</w:t>
            </w:r>
          </w:p>
        </w:tc>
        <w:tc>
          <w:tcPr>
            <w:tcW w:w="5489"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黑体"/>
                <w:sz w:val="24"/>
              </w:rPr>
            </w:pPr>
            <w:r>
              <w:rPr>
                <w:rFonts w:eastAsia="黑体"/>
                <w:sz w:val="24"/>
              </w:rPr>
              <w:t>外资</w:t>
            </w:r>
          </w:p>
        </w:tc>
        <w:tc>
          <w:tcPr>
            <w:tcW w:w="7337"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黑体"/>
                <w:sz w:val="24"/>
              </w:rPr>
            </w:pPr>
            <w:r>
              <w:rPr>
                <w:rFonts w:eastAsia="黑体"/>
                <w:sz w:val="24"/>
              </w:rPr>
              <w:t>内资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08" w:hRule="atLeast"/>
        </w:trPr>
        <w:tc>
          <w:tcPr>
            <w:tcW w:w="1200" w:type="dxa"/>
            <w:vMerge w:val="continue"/>
            <w:tcBorders>
              <w:left w:val="single" w:color="auto" w:sz="4" w:space="0"/>
              <w:bottom w:val="single" w:color="auto" w:sz="4" w:space="0"/>
              <w:right w:val="single" w:color="auto" w:sz="4" w:space="0"/>
            </w:tcBorders>
            <w:noWrap w:val="0"/>
            <w:vAlign w:val="center"/>
          </w:tcPr>
          <w:p>
            <w:pPr>
              <w:snapToGrid w:val="0"/>
              <w:rPr>
                <w:sz w:val="24"/>
              </w:rPr>
            </w:pPr>
          </w:p>
        </w:tc>
        <w:tc>
          <w:tcPr>
            <w:tcW w:w="101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黑体"/>
                <w:bCs/>
                <w:sz w:val="24"/>
              </w:rPr>
            </w:pPr>
            <w:r>
              <w:rPr>
                <w:rFonts w:eastAsia="黑体"/>
                <w:bCs/>
                <w:sz w:val="24"/>
              </w:rPr>
              <w:t>合同</w:t>
            </w:r>
          </w:p>
          <w:p>
            <w:pPr>
              <w:snapToGrid w:val="0"/>
              <w:jc w:val="center"/>
              <w:rPr>
                <w:rFonts w:eastAsia="黑体"/>
                <w:bCs/>
                <w:sz w:val="24"/>
              </w:rPr>
            </w:pPr>
            <w:r>
              <w:rPr>
                <w:rFonts w:eastAsia="黑体"/>
                <w:bCs/>
                <w:sz w:val="24"/>
              </w:rPr>
              <w:t>外资(万美元)</w:t>
            </w:r>
          </w:p>
        </w:tc>
        <w:tc>
          <w:tcPr>
            <w:tcW w:w="104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黑体"/>
                <w:bCs/>
                <w:sz w:val="24"/>
              </w:rPr>
            </w:pPr>
            <w:r>
              <w:rPr>
                <w:rFonts w:eastAsia="黑体"/>
                <w:bCs/>
                <w:sz w:val="24"/>
              </w:rPr>
              <w:t>实际</w:t>
            </w:r>
          </w:p>
          <w:p>
            <w:pPr>
              <w:snapToGrid w:val="0"/>
              <w:jc w:val="center"/>
              <w:rPr>
                <w:rFonts w:eastAsia="黑体"/>
                <w:bCs/>
                <w:sz w:val="24"/>
              </w:rPr>
            </w:pPr>
            <w:r>
              <w:rPr>
                <w:rFonts w:eastAsia="黑体"/>
                <w:bCs/>
                <w:sz w:val="24"/>
              </w:rPr>
              <w:t>外资</w:t>
            </w:r>
          </w:p>
          <w:p>
            <w:pPr>
              <w:snapToGrid w:val="0"/>
              <w:jc w:val="center"/>
              <w:rPr>
                <w:rFonts w:eastAsia="黑体"/>
                <w:bCs/>
                <w:sz w:val="24"/>
              </w:rPr>
            </w:pPr>
            <w:r>
              <w:rPr>
                <w:rFonts w:eastAsia="黑体"/>
                <w:bCs/>
                <w:sz w:val="24"/>
              </w:rPr>
              <w:t>(万美元)</w:t>
            </w:r>
          </w:p>
        </w:tc>
        <w:tc>
          <w:tcPr>
            <w:tcW w:w="114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黑体"/>
                <w:bCs/>
                <w:sz w:val="24"/>
              </w:rPr>
            </w:pPr>
            <w:r>
              <w:rPr>
                <w:rFonts w:eastAsia="黑体"/>
                <w:bCs/>
                <w:sz w:val="24"/>
              </w:rPr>
              <w:t>制造业</w:t>
            </w:r>
          </w:p>
          <w:p>
            <w:pPr>
              <w:snapToGrid w:val="0"/>
              <w:jc w:val="center"/>
              <w:rPr>
                <w:rFonts w:eastAsia="黑体"/>
                <w:bCs/>
                <w:sz w:val="24"/>
              </w:rPr>
            </w:pPr>
            <w:r>
              <w:rPr>
                <w:rFonts w:eastAsia="黑体"/>
                <w:bCs/>
                <w:sz w:val="24"/>
              </w:rPr>
              <w:t>(万美元)</w:t>
            </w:r>
          </w:p>
        </w:tc>
        <w:tc>
          <w:tcPr>
            <w:tcW w:w="11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黑体"/>
                <w:bCs/>
                <w:sz w:val="24"/>
              </w:rPr>
            </w:pPr>
            <w:r>
              <w:rPr>
                <w:rFonts w:eastAsia="黑体"/>
                <w:bCs/>
                <w:sz w:val="24"/>
              </w:rPr>
              <w:t>日韩资</w:t>
            </w:r>
          </w:p>
          <w:p>
            <w:pPr>
              <w:snapToGrid w:val="0"/>
              <w:jc w:val="center"/>
              <w:rPr>
                <w:rFonts w:eastAsia="黑体"/>
                <w:bCs/>
                <w:sz w:val="24"/>
              </w:rPr>
            </w:pPr>
            <w:r>
              <w:rPr>
                <w:rFonts w:eastAsia="黑体"/>
                <w:bCs/>
                <w:sz w:val="24"/>
              </w:rPr>
              <w:t>(万美元)</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黑体"/>
                <w:bCs/>
                <w:sz w:val="24"/>
              </w:rPr>
            </w:pPr>
            <w:r>
              <w:rPr>
                <w:rFonts w:eastAsia="黑体"/>
                <w:bCs/>
                <w:sz w:val="24"/>
              </w:rPr>
              <w:t>欧美资</w:t>
            </w:r>
          </w:p>
          <w:p>
            <w:pPr>
              <w:snapToGrid w:val="0"/>
              <w:jc w:val="center"/>
              <w:rPr>
                <w:rFonts w:eastAsia="黑体"/>
                <w:bCs/>
                <w:sz w:val="24"/>
              </w:rPr>
            </w:pPr>
            <w:r>
              <w:rPr>
                <w:rFonts w:eastAsia="黑体"/>
                <w:bCs/>
                <w:sz w:val="24"/>
              </w:rPr>
              <w:t>(万美元)</w:t>
            </w:r>
          </w:p>
        </w:tc>
        <w:tc>
          <w:tcPr>
            <w:tcW w:w="12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eastAsia="黑体"/>
                <w:bCs/>
                <w:sz w:val="24"/>
              </w:rPr>
            </w:pPr>
            <w:r>
              <w:rPr>
                <w:rFonts w:eastAsia="黑体"/>
                <w:bCs/>
                <w:sz w:val="24"/>
              </w:rPr>
              <w:t>合同引市外内资(亿元)</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eastAsia="黑体"/>
                <w:bCs/>
                <w:sz w:val="24"/>
              </w:rPr>
            </w:pPr>
            <w:r>
              <w:rPr>
                <w:rFonts w:eastAsia="黑体"/>
                <w:bCs/>
                <w:sz w:val="24"/>
              </w:rPr>
              <w:t>实际到位市外内资(亿元)</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eastAsia="黑体"/>
                <w:bCs/>
                <w:sz w:val="24"/>
              </w:rPr>
            </w:pPr>
            <w:r>
              <w:rPr>
                <w:rFonts w:eastAsia="黑体"/>
                <w:bCs/>
                <w:sz w:val="24"/>
              </w:rPr>
              <w:t>三类500强项目(个)</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eastAsia="黑体"/>
                <w:bCs/>
                <w:sz w:val="24"/>
              </w:rPr>
            </w:pPr>
            <w:r>
              <w:rPr>
                <w:rFonts w:eastAsia="黑体"/>
                <w:bCs/>
                <w:sz w:val="24"/>
              </w:rPr>
              <w:t>过10亿元项目(个)</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eastAsia="黑体"/>
                <w:bCs/>
                <w:sz w:val="24"/>
              </w:rPr>
            </w:pPr>
            <w:r>
              <w:rPr>
                <w:rFonts w:eastAsia="黑体"/>
                <w:bCs/>
                <w:sz w:val="24"/>
              </w:rPr>
              <w:t>过5亿元项目(个)</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eastAsia="黑体"/>
                <w:bCs/>
                <w:sz w:val="24"/>
              </w:rPr>
            </w:pPr>
            <w:r>
              <w:rPr>
                <w:rFonts w:eastAsia="黑体"/>
                <w:bCs/>
                <w:sz w:val="24"/>
              </w:rPr>
              <w:t>省市区重大活动签约项目(个)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92" w:hRule="exact"/>
        </w:trPr>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只楚园</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26000</w:t>
            </w:r>
          </w:p>
        </w:tc>
        <w:tc>
          <w:tcPr>
            <w:tcW w:w="10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11000</w:t>
            </w:r>
          </w:p>
        </w:tc>
        <w:tc>
          <w:tcPr>
            <w:tcW w:w="114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4500</w:t>
            </w:r>
          </w:p>
        </w:tc>
        <w:tc>
          <w:tcPr>
            <w:tcW w:w="11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1100</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550</w:t>
            </w:r>
          </w:p>
        </w:tc>
        <w:tc>
          <w:tcPr>
            <w:tcW w:w="12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100</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30</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3</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4</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bCs/>
                <w:sz w:val="24"/>
              </w:rPr>
            </w:pPr>
            <w:r>
              <w:rPr>
                <w:bCs/>
                <w:sz w:val="24"/>
              </w:rPr>
              <w:t>5</w:t>
            </w:r>
          </w:p>
          <w:p>
            <w:pPr>
              <w:adjustRightInd w:val="0"/>
              <w:snapToGrid w:val="0"/>
              <w:jc w:val="center"/>
              <w:rPr>
                <w:bCs/>
                <w:sz w:val="24"/>
              </w:rPr>
            </w:pPr>
            <w:r>
              <w:rPr>
                <w:bCs/>
                <w:sz w:val="24"/>
              </w:rPr>
              <w:t>(至少引进1个制造业项目)</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93" w:hRule="exact"/>
        </w:trPr>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卧龙园</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26000</w:t>
            </w:r>
          </w:p>
        </w:tc>
        <w:tc>
          <w:tcPr>
            <w:tcW w:w="10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11000</w:t>
            </w:r>
          </w:p>
        </w:tc>
        <w:tc>
          <w:tcPr>
            <w:tcW w:w="114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4500</w:t>
            </w:r>
          </w:p>
        </w:tc>
        <w:tc>
          <w:tcPr>
            <w:tcW w:w="11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1100</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550</w:t>
            </w:r>
          </w:p>
        </w:tc>
        <w:tc>
          <w:tcPr>
            <w:tcW w:w="12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100</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30</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3</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4</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bCs/>
                <w:sz w:val="24"/>
              </w:rPr>
            </w:pPr>
            <w:r>
              <w:rPr>
                <w:bCs/>
                <w:sz w:val="24"/>
              </w:rPr>
              <w:t>5</w:t>
            </w:r>
          </w:p>
          <w:p>
            <w:pPr>
              <w:adjustRightInd w:val="0"/>
              <w:snapToGrid w:val="0"/>
              <w:jc w:val="center"/>
              <w:rPr>
                <w:bCs/>
                <w:sz w:val="24"/>
              </w:rPr>
            </w:pPr>
            <w:r>
              <w:rPr>
                <w:bCs/>
                <w:sz w:val="24"/>
              </w:rPr>
              <w:t>(至少引进1个制造业项目)</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Cs/>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1" w:hRule="atLeast"/>
        </w:trPr>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rFonts w:eastAsia="黑体"/>
                <w:bCs/>
                <w:sz w:val="24"/>
              </w:rPr>
              <w:t>总计</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Cs/>
                <w:sz w:val="24"/>
              </w:rPr>
            </w:pPr>
            <w:r>
              <w:rPr>
                <w:b/>
                <w:sz w:val="24"/>
              </w:rPr>
              <w:t>52000</w:t>
            </w:r>
          </w:p>
        </w:tc>
        <w:tc>
          <w:tcPr>
            <w:tcW w:w="10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
                <w:sz w:val="24"/>
              </w:rPr>
            </w:pPr>
            <w:r>
              <w:rPr>
                <w:b/>
                <w:sz w:val="24"/>
              </w:rPr>
              <w:t>22000</w:t>
            </w:r>
          </w:p>
        </w:tc>
        <w:tc>
          <w:tcPr>
            <w:tcW w:w="114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
                <w:sz w:val="24"/>
              </w:rPr>
            </w:pPr>
            <w:r>
              <w:rPr>
                <w:b/>
                <w:sz w:val="24"/>
              </w:rPr>
              <w:t>9000</w:t>
            </w:r>
          </w:p>
        </w:tc>
        <w:tc>
          <w:tcPr>
            <w:tcW w:w="11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
                <w:sz w:val="24"/>
              </w:rPr>
            </w:pPr>
            <w:r>
              <w:rPr>
                <w:b/>
                <w:sz w:val="24"/>
              </w:rPr>
              <w:t>2200</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
                <w:sz w:val="24"/>
              </w:rPr>
            </w:pPr>
            <w:r>
              <w:rPr>
                <w:b/>
                <w:sz w:val="24"/>
              </w:rPr>
              <w:t>1100</w:t>
            </w:r>
          </w:p>
        </w:tc>
        <w:tc>
          <w:tcPr>
            <w:tcW w:w="12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
                <w:sz w:val="24"/>
              </w:rPr>
            </w:pPr>
            <w:r>
              <w:rPr>
                <w:b/>
                <w:sz w:val="24"/>
              </w:rPr>
              <w:t>200</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
                <w:sz w:val="24"/>
              </w:rPr>
            </w:pPr>
            <w:r>
              <w:rPr>
                <w:b/>
                <w:sz w:val="24"/>
              </w:rPr>
              <w:t>60</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
                <w:sz w:val="24"/>
              </w:rPr>
            </w:pPr>
            <w:r>
              <w:rPr>
                <w:b/>
                <w:sz w:val="24"/>
              </w:rPr>
              <w:t>6</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
                <w:sz w:val="24"/>
              </w:rPr>
            </w:pPr>
            <w:r>
              <w:rPr>
                <w:b/>
                <w:sz w:val="24"/>
              </w:rPr>
              <w:t>8</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
                <w:sz w:val="24"/>
              </w:rPr>
            </w:pPr>
            <w:r>
              <w:rPr>
                <w:b/>
                <w:sz w:val="24"/>
              </w:rPr>
              <w:t>10</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b/>
                <w:sz w:val="24"/>
              </w:rPr>
            </w:pPr>
            <w:r>
              <w:rPr>
                <w:b/>
                <w:sz w:val="24"/>
              </w:rPr>
              <w:t>10</w:t>
            </w:r>
          </w:p>
        </w:tc>
      </w:tr>
    </w:tbl>
    <w:p>
      <w:pPr>
        <w:ind w:left="29" w:leftChars="9" w:firstLine="1162" w:firstLineChars="415"/>
        <w:rPr>
          <w:sz w:val="28"/>
          <w:szCs w:val="28"/>
        </w:rPr>
        <w:sectPr>
          <w:pgSz w:w="16838" w:h="11906" w:orient="landscape"/>
          <w:pgMar w:top="1531" w:right="1418" w:bottom="1531" w:left="1418" w:header="851" w:footer="1247" w:gutter="0"/>
          <w:cols w:space="720" w:num="1"/>
          <w:docGrid w:type="lines" w:linePitch="569" w:charSpace="-849"/>
        </w:sectPr>
      </w:pPr>
      <w:r>
        <w:rPr>
          <w:sz w:val="28"/>
          <w:szCs w:val="28"/>
          <w:lang/>
        </w:rPr>
        <w:pict>
          <v:rect id="_x0000_s1307" o:spid="_x0000_s1307" o:spt="1" style="position:absolute;left:0pt;margin-left:-10.15pt;margin-top:10.5pt;height:28.45pt;width:79pt;z-index:251664384;mso-width-relative:page;mso-height-relative:page;" fillcolor="#FFFFFF" filled="t" stroked="f" coordsize="21600,21600">
            <v:path/>
            <v:fill on="t" focussize="0,0"/>
            <v:stroke on="f"/>
            <v:imagedata o:title=""/>
            <o:lock v:ext="edit"/>
          </v:rect>
        </w:pict>
      </w:r>
    </w:p>
    <w:p>
      <w:pPr>
        <w:adjustRightInd w:val="0"/>
        <w:rPr>
          <w:rFonts w:hint="eastAsia" w:eastAsia="宋体"/>
          <w:bCs/>
        </w:rPr>
      </w:pPr>
      <w:r>
        <w:rPr>
          <w:rFonts w:eastAsia="黑体"/>
          <w:bCs/>
        </w:rPr>
        <w:t>附件</w:t>
      </w:r>
      <w:r>
        <w:rPr>
          <w:rFonts w:eastAsia="仿宋"/>
          <w:bCs/>
        </w:rPr>
        <w:t>2</w:t>
      </w:r>
    </w:p>
    <w:p>
      <w:pPr>
        <w:adjustRightInd w:val="0"/>
        <w:jc w:val="center"/>
      </w:pPr>
      <w:r>
        <w:rPr>
          <w:rFonts w:eastAsia="方正小标宋简体"/>
          <w:bCs/>
          <w:sz w:val="44"/>
          <w:szCs w:val="44"/>
        </w:rPr>
        <w:t>区直部门单位“招商引资突破年”外资攻坚目标</w:t>
      </w:r>
    </w:p>
    <w:tbl>
      <w:tblPr>
        <w:tblStyle w:val="21"/>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
        <w:gridCol w:w="2170"/>
        <w:gridCol w:w="1366"/>
        <w:gridCol w:w="1357"/>
        <w:gridCol w:w="3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4" w:hRule="atLeast"/>
        </w:trPr>
        <w:tc>
          <w:tcPr>
            <w:tcW w:w="93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黑体"/>
                <w:bCs/>
                <w:sz w:val="24"/>
              </w:rPr>
            </w:pPr>
            <w:r>
              <w:rPr>
                <w:rFonts w:eastAsia="黑体"/>
                <w:bCs/>
                <w:sz w:val="24"/>
              </w:rPr>
              <w:t>序号</w:t>
            </w:r>
          </w:p>
        </w:tc>
        <w:tc>
          <w:tcPr>
            <w:tcW w:w="217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黑体"/>
                <w:bCs/>
                <w:sz w:val="24"/>
              </w:rPr>
            </w:pPr>
            <w:r>
              <w:rPr>
                <w:rFonts w:eastAsia="黑体"/>
                <w:bCs/>
                <w:sz w:val="24"/>
              </w:rPr>
              <w:t>区直部门单位</w:t>
            </w:r>
          </w:p>
        </w:tc>
        <w:tc>
          <w:tcPr>
            <w:tcW w:w="136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黑体"/>
                <w:bCs/>
                <w:sz w:val="24"/>
              </w:rPr>
            </w:pPr>
            <w:r>
              <w:rPr>
                <w:rFonts w:eastAsia="黑体"/>
                <w:bCs/>
                <w:sz w:val="24"/>
              </w:rPr>
              <w:t>合同外资</w:t>
            </w:r>
          </w:p>
          <w:p>
            <w:pPr>
              <w:snapToGrid w:val="0"/>
              <w:jc w:val="center"/>
              <w:rPr>
                <w:rFonts w:eastAsia="黑体"/>
                <w:bCs/>
                <w:sz w:val="24"/>
              </w:rPr>
            </w:pPr>
            <w:r>
              <w:rPr>
                <w:rFonts w:eastAsia="黑体"/>
                <w:bCs/>
                <w:sz w:val="24"/>
              </w:rPr>
              <w:t>（万美元）</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黑体"/>
                <w:bCs/>
                <w:sz w:val="24"/>
              </w:rPr>
            </w:pPr>
            <w:r>
              <w:rPr>
                <w:rFonts w:eastAsia="黑体"/>
                <w:bCs/>
                <w:sz w:val="24"/>
              </w:rPr>
              <w:t>实际外资</w:t>
            </w:r>
          </w:p>
          <w:p>
            <w:pPr>
              <w:snapToGrid w:val="0"/>
              <w:jc w:val="center"/>
              <w:rPr>
                <w:rFonts w:eastAsia="黑体"/>
                <w:bCs/>
                <w:sz w:val="24"/>
              </w:rPr>
            </w:pPr>
            <w:r>
              <w:rPr>
                <w:rFonts w:eastAsia="黑体"/>
                <w:bCs/>
                <w:sz w:val="24"/>
              </w:rPr>
              <w:t>（万美元）</w:t>
            </w:r>
          </w:p>
        </w:tc>
        <w:tc>
          <w:tcPr>
            <w:tcW w:w="305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黑体"/>
                <w:bCs/>
                <w:sz w:val="24"/>
              </w:rPr>
            </w:pPr>
            <w:r>
              <w:rPr>
                <w:rFonts w:eastAsia="黑体"/>
                <w:bCs/>
                <w:sz w:val="24"/>
              </w:rPr>
              <w:t>建议招引方向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0" w:hRule="atLeast"/>
        </w:trPr>
        <w:tc>
          <w:tcPr>
            <w:tcW w:w="938"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bCs/>
                <w:sz w:val="24"/>
              </w:rPr>
            </w:pPr>
            <w:r>
              <w:rPr>
                <w:bCs/>
                <w:sz w:val="24"/>
              </w:rPr>
              <w:t>一类（2）</w:t>
            </w:r>
          </w:p>
        </w:tc>
        <w:tc>
          <w:tcPr>
            <w:tcW w:w="2170"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投资促进中心</w:t>
            </w:r>
          </w:p>
          <w:p>
            <w:pPr>
              <w:tabs>
                <w:tab w:val="left" w:pos="616"/>
              </w:tabs>
              <w:adjustRightInd w:val="0"/>
              <w:snapToGrid w:val="0"/>
              <w:jc w:val="center"/>
              <w:rPr>
                <w:sz w:val="24"/>
              </w:rPr>
            </w:pPr>
            <w:r>
              <w:rPr>
                <w:sz w:val="24"/>
              </w:rPr>
              <w:t>（含招商专班）</w:t>
            </w:r>
          </w:p>
        </w:tc>
        <w:tc>
          <w:tcPr>
            <w:tcW w:w="13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6000</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2000</w:t>
            </w:r>
          </w:p>
        </w:tc>
        <w:tc>
          <w:tcPr>
            <w:tcW w:w="3052"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日韩资、欧美资、制造业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1" w:hRule="exact"/>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2170"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财金控股集团</w:t>
            </w:r>
          </w:p>
        </w:tc>
        <w:tc>
          <w:tcPr>
            <w:tcW w:w="13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15000</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6000</w:t>
            </w:r>
          </w:p>
        </w:tc>
        <w:tc>
          <w:tcPr>
            <w:tcW w:w="3052"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bCs/>
                <w:sz w:val="24"/>
              </w:rPr>
            </w:pPr>
            <w:r>
              <w:rPr>
                <w:sz w:val="24"/>
              </w:rPr>
              <w:t>现代金融商贸、制造业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4" w:hRule="atLeast"/>
        </w:trPr>
        <w:tc>
          <w:tcPr>
            <w:tcW w:w="938"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bCs/>
                <w:sz w:val="24"/>
              </w:rPr>
            </w:pPr>
            <w:r>
              <w:rPr>
                <w:bCs/>
                <w:sz w:val="24"/>
              </w:rPr>
              <w:t>二类（6）</w:t>
            </w:r>
          </w:p>
        </w:tc>
        <w:tc>
          <w:tcPr>
            <w:tcW w:w="2170"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bCs/>
                <w:sz w:val="24"/>
              </w:rPr>
            </w:pPr>
            <w:r>
              <w:rPr>
                <w:sz w:val="24"/>
              </w:rPr>
              <w:t>发改局</w:t>
            </w:r>
          </w:p>
        </w:tc>
        <w:tc>
          <w:tcPr>
            <w:tcW w:w="13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1000</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500</w:t>
            </w:r>
          </w:p>
        </w:tc>
        <w:tc>
          <w:tcPr>
            <w:tcW w:w="3052"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新能源产业、商贸服务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4" w:hRule="atLeast"/>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2170"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bCs/>
                <w:sz w:val="24"/>
              </w:rPr>
            </w:pPr>
            <w:r>
              <w:rPr>
                <w:sz w:val="24"/>
              </w:rPr>
              <w:t>工信局</w:t>
            </w:r>
          </w:p>
        </w:tc>
        <w:tc>
          <w:tcPr>
            <w:tcW w:w="13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1000</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500</w:t>
            </w:r>
          </w:p>
        </w:tc>
        <w:tc>
          <w:tcPr>
            <w:tcW w:w="3052"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高端装备制造、新一代信息技术、新材料、高端化工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4" w:hRule="atLeast"/>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2170"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bCs/>
                <w:sz w:val="24"/>
              </w:rPr>
            </w:pPr>
            <w:r>
              <w:rPr>
                <w:sz w:val="24"/>
              </w:rPr>
              <w:t>住建局</w:t>
            </w:r>
          </w:p>
        </w:tc>
        <w:tc>
          <w:tcPr>
            <w:tcW w:w="13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1000</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500</w:t>
            </w:r>
          </w:p>
        </w:tc>
        <w:tc>
          <w:tcPr>
            <w:tcW w:w="3052"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交通运输业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4" w:hRule="atLeast"/>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2170"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bCs/>
                <w:sz w:val="24"/>
              </w:rPr>
            </w:pPr>
            <w:r>
              <w:rPr>
                <w:sz w:val="24"/>
              </w:rPr>
              <w:t>商务局</w:t>
            </w:r>
          </w:p>
        </w:tc>
        <w:tc>
          <w:tcPr>
            <w:tcW w:w="13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1000</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500</w:t>
            </w:r>
          </w:p>
        </w:tc>
        <w:tc>
          <w:tcPr>
            <w:tcW w:w="3052"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商贸流通、国际贸易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2" w:hRule="atLeast"/>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2170"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bCs/>
                <w:sz w:val="24"/>
              </w:rPr>
            </w:pPr>
            <w:r>
              <w:rPr>
                <w:sz w:val="24"/>
              </w:rPr>
              <w:t>文化旅游局</w:t>
            </w:r>
          </w:p>
        </w:tc>
        <w:tc>
          <w:tcPr>
            <w:tcW w:w="13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1000</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500</w:t>
            </w:r>
          </w:p>
        </w:tc>
        <w:tc>
          <w:tcPr>
            <w:tcW w:w="3052"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精品旅游、文化创意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4" w:hRule="atLeast"/>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2170"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bCs/>
                <w:sz w:val="24"/>
              </w:rPr>
            </w:pPr>
            <w:r>
              <w:rPr>
                <w:sz w:val="24"/>
              </w:rPr>
              <w:t>地方金融监管局</w:t>
            </w:r>
          </w:p>
        </w:tc>
        <w:tc>
          <w:tcPr>
            <w:tcW w:w="13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1000</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500</w:t>
            </w:r>
          </w:p>
        </w:tc>
        <w:tc>
          <w:tcPr>
            <w:tcW w:w="3052"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现代金融、境内外基金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4" w:hRule="atLeast"/>
        </w:trPr>
        <w:tc>
          <w:tcPr>
            <w:tcW w:w="938"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bCs/>
                <w:sz w:val="24"/>
              </w:rPr>
            </w:pPr>
            <w:r>
              <w:rPr>
                <w:bCs/>
                <w:sz w:val="24"/>
              </w:rPr>
              <w:t>三类（3）</w:t>
            </w:r>
          </w:p>
        </w:tc>
        <w:tc>
          <w:tcPr>
            <w:tcW w:w="2170"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bCs/>
                <w:sz w:val="24"/>
              </w:rPr>
            </w:pPr>
            <w:r>
              <w:rPr>
                <w:sz w:val="24"/>
              </w:rPr>
              <w:t>农业农村局</w:t>
            </w:r>
          </w:p>
        </w:tc>
        <w:tc>
          <w:tcPr>
            <w:tcW w:w="13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500</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200</w:t>
            </w:r>
          </w:p>
        </w:tc>
        <w:tc>
          <w:tcPr>
            <w:tcW w:w="3052"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现代高效农业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4" w:hRule="atLeast"/>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2170"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bCs/>
                <w:sz w:val="24"/>
              </w:rPr>
            </w:pPr>
            <w:r>
              <w:rPr>
                <w:sz w:val="24"/>
              </w:rPr>
              <w:t>海洋和渔业局</w:t>
            </w:r>
          </w:p>
        </w:tc>
        <w:tc>
          <w:tcPr>
            <w:tcW w:w="13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500</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200</w:t>
            </w:r>
          </w:p>
        </w:tc>
        <w:tc>
          <w:tcPr>
            <w:tcW w:w="3052"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现代海洋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4" w:hRule="atLeast"/>
        </w:trPr>
        <w:tc>
          <w:tcPr>
            <w:tcW w:w="938"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2170"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bCs/>
                <w:sz w:val="24"/>
              </w:rPr>
            </w:pPr>
            <w:r>
              <w:rPr>
                <w:sz w:val="24"/>
              </w:rPr>
              <w:t>市场监管局</w:t>
            </w:r>
          </w:p>
        </w:tc>
        <w:tc>
          <w:tcPr>
            <w:tcW w:w="13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500</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200</w:t>
            </w:r>
          </w:p>
        </w:tc>
        <w:tc>
          <w:tcPr>
            <w:tcW w:w="3052"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医养健康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4" w:hRule="atLeast"/>
        </w:trPr>
        <w:tc>
          <w:tcPr>
            <w:tcW w:w="3108"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rFonts w:eastAsia="黑体"/>
                <w:sz w:val="24"/>
              </w:rPr>
            </w:pPr>
            <w:r>
              <w:rPr>
                <w:rFonts w:eastAsia="黑体"/>
                <w:sz w:val="24"/>
              </w:rPr>
              <w:t>合  计</w:t>
            </w:r>
          </w:p>
        </w:tc>
        <w:tc>
          <w:tcPr>
            <w:tcW w:w="13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b/>
                <w:bCs/>
                <w:sz w:val="24"/>
              </w:rPr>
            </w:pPr>
            <w:r>
              <w:rPr>
                <w:b/>
                <w:bCs/>
                <w:sz w:val="24"/>
              </w:rPr>
              <w:t>28500</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b/>
                <w:bCs/>
                <w:sz w:val="24"/>
              </w:rPr>
            </w:pPr>
            <w:r>
              <w:rPr>
                <w:b/>
                <w:bCs/>
                <w:sz w:val="24"/>
              </w:rPr>
              <w:t>11600</w:t>
            </w:r>
          </w:p>
        </w:tc>
        <w:tc>
          <w:tcPr>
            <w:tcW w:w="3052"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b/>
                <w:bCs/>
                <w:sz w:val="24"/>
              </w:rPr>
            </w:pPr>
          </w:p>
        </w:tc>
      </w:tr>
    </w:tbl>
    <w:p>
      <w:pPr>
        <w:ind w:left="28" w:leftChars="9" w:firstLine="1146" w:firstLineChars="415"/>
        <w:rPr>
          <w:rFonts w:hint="eastAsia"/>
          <w:sz w:val="28"/>
          <w:szCs w:val="28"/>
        </w:rPr>
      </w:pPr>
    </w:p>
    <w:p>
      <w:pPr>
        <w:ind w:left="28" w:leftChars="9" w:firstLine="1146" w:firstLineChars="415"/>
        <w:rPr>
          <w:rFonts w:hint="eastAsia"/>
          <w:sz w:val="28"/>
          <w:szCs w:val="28"/>
        </w:rPr>
      </w:pPr>
    </w:p>
    <w:p>
      <w:pPr>
        <w:ind w:left="28" w:leftChars="9" w:firstLine="1146" w:firstLineChars="415"/>
        <w:rPr>
          <w:rFonts w:hint="eastAsia"/>
          <w:sz w:val="28"/>
          <w:szCs w:val="28"/>
        </w:rPr>
      </w:pPr>
    </w:p>
    <w:p>
      <w:pPr>
        <w:ind w:left="28" w:leftChars="9" w:firstLine="1146" w:firstLineChars="415"/>
        <w:rPr>
          <w:rFonts w:hint="eastAsia"/>
          <w:sz w:val="28"/>
          <w:szCs w:val="28"/>
        </w:rPr>
      </w:pPr>
    </w:p>
    <w:p>
      <w:pPr>
        <w:rPr>
          <w:rFonts w:eastAsia="方正小标宋简体"/>
          <w:bCs/>
          <w:spacing w:val="-16"/>
        </w:rPr>
      </w:pPr>
      <w:r>
        <w:rPr>
          <w:rFonts w:eastAsia="黑体"/>
          <w:bCs/>
        </w:rPr>
        <w:t>附件3</w:t>
      </w:r>
    </w:p>
    <w:p>
      <w:pPr>
        <w:jc w:val="center"/>
        <w:rPr>
          <w:rFonts w:eastAsia="黑体"/>
          <w:sz w:val="24"/>
        </w:rPr>
      </w:pPr>
      <w:r>
        <w:rPr>
          <w:rFonts w:eastAsia="方正小标宋简体"/>
          <w:bCs/>
          <w:sz w:val="44"/>
          <w:szCs w:val="44"/>
        </w:rPr>
        <w:t>区直部门单位“招商引资突破年”内资攻坚目标</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938"/>
        <w:gridCol w:w="1136"/>
        <w:gridCol w:w="1080"/>
        <w:gridCol w:w="1022"/>
        <w:gridCol w:w="826"/>
        <w:gridCol w:w="826"/>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6" w:hRule="atLeast"/>
          <w:tblHeader/>
        </w:trPr>
        <w:tc>
          <w:tcPr>
            <w:tcW w:w="871"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ind w:left="-79" w:leftChars="-25" w:right="-79" w:rightChars="-25"/>
              <w:jc w:val="center"/>
              <w:rPr>
                <w:rFonts w:eastAsia="黑体"/>
                <w:sz w:val="24"/>
              </w:rPr>
            </w:pPr>
            <w:r>
              <w:rPr>
                <w:rFonts w:eastAsia="黑体"/>
                <w:sz w:val="24"/>
              </w:rPr>
              <w:t>序号</w:t>
            </w: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ind w:left="-79" w:leftChars="-25" w:right="-79" w:rightChars="-25"/>
              <w:jc w:val="center"/>
              <w:rPr>
                <w:rFonts w:eastAsia="黑体"/>
                <w:sz w:val="24"/>
              </w:rPr>
            </w:pPr>
            <w:r>
              <w:rPr>
                <w:rFonts w:eastAsia="黑体"/>
                <w:sz w:val="24"/>
              </w:rPr>
              <w:t>区直部门</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ind w:left="-79" w:leftChars="-25" w:right="-79" w:rightChars="-25"/>
              <w:jc w:val="center"/>
              <w:rPr>
                <w:rFonts w:hint="eastAsia" w:eastAsia="黑体"/>
                <w:sz w:val="24"/>
              </w:rPr>
            </w:pPr>
            <w:r>
              <w:rPr>
                <w:rFonts w:eastAsia="黑体"/>
                <w:sz w:val="24"/>
              </w:rPr>
              <w:t>合同利用内资</w:t>
            </w:r>
          </w:p>
          <w:p>
            <w:pPr>
              <w:tabs>
                <w:tab w:val="left" w:pos="616"/>
              </w:tabs>
              <w:adjustRightInd w:val="0"/>
              <w:snapToGrid w:val="0"/>
              <w:ind w:left="-79" w:leftChars="-25" w:right="-79" w:rightChars="-25"/>
              <w:jc w:val="center"/>
              <w:rPr>
                <w:rFonts w:eastAsia="黑体"/>
                <w:sz w:val="24"/>
              </w:rPr>
            </w:pPr>
            <w:r>
              <w:rPr>
                <w:rFonts w:eastAsia="黑体"/>
                <w:sz w:val="24"/>
              </w:rPr>
              <w:t>（万元）</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ind w:left="-79" w:leftChars="-25" w:right="-79" w:rightChars="-25"/>
              <w:jc w:val="center"/>
              <w:rPr>
                <w:rFonts w:hint="eastAsia" w:eastAsia="黑体"/>
                <w:sz w:val="24"/>
              </w:rPr>
            </w:pPr>
            <w:r>
              <w:rPr>
                <w:rFonts w:eastAsia="黑体"/>
                <w:sz w:val="24"/>
              </w:rPr>
              <w:t>实际到位内资</w:t>
            </w:r>
          </w:p>
          <w:p>
            <w:pPr>
              <w:tabs>
                <w:tab w:val="left" w:pos="616"/>
              </w:tabs>
              <w:adjustRightInd w:val="0"/>
              <w:snapToGrid w:val="0"/>
              <w:ind w:left="-79" w:leftChars="-25" w:right="-79" w:rightChars="-25"/>
              <w:jc w:val="center"/>
              <w:rPr>
                <w:rFonts w:eastAsia="黑体"/>
                <w:sz w:val="24"/>
              </w:rPr>
            </w:pPr>
            <w:r>
              <w:rPr>
                <w:rFonts w:eastAsia="黑体"/>
                <w:sz w:val="24"/>
              </w:rPr>
              <w:t>（万元）</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ind w:left="-79" w:leftChars="-25" w:right="-79" w:rightChars="-25"/>
              <w:jc w:val="center"/>
              <w:rPr>
                <w:rFonts w:eastAsia="黑体"/>
                <w:sz w:val="24"/>
              </w:rPr>
            </w:pPr>
            <w:r>
              <w:rPr>
                <w:rFonts w:eastAsia="黑体"/>
                <w:bCs/>
                <w:sz w:val="24"/>
              </w:rPr>
              <w:t>省市区重大活动签约项目（个）</w:t>
            </w:r>
          </w:p>
        </w:tc>
        <w:tc>
          <w:tcPr>
            <w:tcW w:w="826"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ind w:left="-79" w:leftChars="-25" w:right="-79" w:rightChars="-25"/>
              <w:jc w:val="center"/>
              <w:rPr>
                <w:rFonts w:eastAsia="黑体"/>
                <w:sz w:val="24"/>
              </w:rPr>
            </w:pPr>
            <w:r>
              <w:rPr>
                <w:rFonts w:eastAsia="黑体"/>
                <w:sz w:val="24"/>
              </w:rPr>
              <w:t>请进来招商（次）</w:t>
            </w:r>
          </w:p>
        </w:tc>
        <w:tc>
          <w:tcPr>
            <w:tcW w:w="826"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ind w:left="-79" w:leftChars="-25" w:right="-79" w:rightChars="-25"/>
              <w:jc w:val="center"/>
              <w:rPr>
                <w:rFonts w:eastAsia="黑体"/>
                <w:sz w:val="24"/>
              </w:rPr>
            </w:pPr>
            <w:r>
              <w:rPr>
                <w:rFonts w:eastAsia="黑体"/>
                <w:sz w:val="24"/>
              </w:rPr>
              <w:t>走出去招商（次）</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ind w:left="-79" w:leftChars="-25" w:right="-79" w:rightChars="-25"/>
              <w:jc w:val="center"/>
              <w:rPr>
                <w:rFonts w:eastAsia="黑体"/>
                <w:sz w:val="24"/>
              </w:rPr>
            </w:pPr>
            <w:r>
              <w:rPr>
                <w:rFonts w:eastAsia="黑体"/>
                <w:sz w:val="24"/>
              </w:rPr>
              <w:t>提供有效招商项目信息（条）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restart"/>
            <w:tcBorders>
              <w:top w:val="single" w:color="auto" w:sz="4" w:space="0"/>
              <w:left w:val="single" w:color="auto" w:sz="4" w:space="0"/>
              <w:right w:val="single" w:color="auto" w:sz="4" w:space="0"/>
            </w:tcBorders>
            <w:noWrap w:val="0"/>
            <w:vAlign w:val="center"/>
          </w:tcPr>
          <w:p>
            <w:pPr>
              <w:tabs>
                <w:tab w:val="left" w:pos="616"/>
              </w:tabs>
              <w:adjustRightInd w:val="0"/>
              <w:snapToGrid w:val="0"/>
              <w:jc w:val="center"/>
              <w:rPr>
                <w:sz w:val="24"/>
              </w:rPr>
            </w:pPr>
            <w:r>
              <w:rPr>
                <w:sz w:val="24"/>
              </w:rPr>
              <w:t>一类</w:t>
            </w:r>
          </w:p>
          <w:p>
            <w:pPr>
              <w:tabs>
                <w:tab w:val="left" w:pos="616"/>
              </w:tabs>
              <w:adjustRightInd w:val="0"/>
              <w:snapToGrid w:val="0"/>
              <w:jc w:val="center"/>
              <w:rPr>
                <w:sz w:val="24"/>
              </w:rPr>
            </w:pPr>
            <w:r>
              <w:rPr>
                <w:sz w:val="24"/>
              </w:rPr>
              <w:t>（2）</w:t>
            </w: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投资促进中心</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300000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100000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30</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continue"/>
            <w:tcBorders>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财金控股集团</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300000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100000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30</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restart"/>
            <w:tcBorders>
              <w:top w:val="single" w:color="auto" w:sz="4" w:space="0"/>
              <w:left w:val="single" w:color="auto" w:sz="4" w:space="0"/>
              <w:right w:val="single" w:color="auto" w:sz="4" w:space="0"/>
            </w:tcBorders>
            <w:noWrap w:val="0"/>
            <w:vAlign w:val="center"/>
          </w:tcPr>
          <w:p>
            <w:pPr>
              <w:tabs>
                <w:tab w:val="left" w:pos="616"/>
              </w:tabs>
              <w:adjustRightInd w:val="0"/>
              <w:snapToGrid w:val="0"/>
              <w:jc w:val="center"/>
              <w:rPr>
                <w:sz w:val="24"/>
              </w:rPr>
            </w:pPr>
            <w:r>
              <w:rPr>
                <w:sz w:val="24"/>
              </w:rPr>
              <w:t>二类</w:t>
            </w:r>
          </w:p>
          <w:p>
            <w:pPr>
              <w:tabs>
                <w:tab w:val="left" w:pos="616"/>
              </w:tabs>
              <w:adjustRightInd w:val="0"/>
              <w:snapToGrid w:val="0"/>
              <w:jc w:val="center"/>
              <w:rPr>
                <w:sz w:val="24"/>
              </w:rPr>
            </w:pPr>
            <w:r>
              <w:rPr>
                <w:sz w:val="24"/>
              </w:rPr>
              <w:t>（6）</w:t>
            </w: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发改局</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1</w:t>
            </w:r>
          </w:p>
        </w:tc>
        <w:tc>
          <w:tcPr>
            <w:tcW w:w="826"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15</w:t>
            </w:r>
          </w:p>
        </w:tc>
        <w:tc>
          <w:tcPr>
            <w:tcW w:w="826"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12</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continue"/>
            <w:tcBorders>
              <w:left w:val="single" w:color="auto" w:sz="4" w:space="0"/>
              <w:right w:val="single" w:color="auto" w:sz="4" w:space="0"/>
            </w:tcBorders>
            <w:noWrap w:val="0"/>
            <w:vAlign w:val="center"/>
          </w:tcPr>
          <w:p>
            <w:pPr>
              <w:adjustRightInd w:val="0"/>
              <w:snapToGrid w:val="0"/>
              <w:rPr>
                <w:sz w:val="24"/>
              </w:rPr>
            </w:pP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工信局</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15</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12</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continue"/>
            <w:tcBorders>
              <w:left w:val="single" w:color="auto" w:sz="4" w:space="0"/>
              <w:right w:val="single" w:color="auto" w:sz="4" w:space="0"/>
            </w:tcBorders>
            <w:noWrap w:val="0"/>
            <w:vAlign w:val="center"/>
          </w:tcPr>
          <w:p>
            <w:pPr>
              <w:adjustRightInd w:val="0"/>
              <w:snapToGrid w:val="0"/>
              <w:rPr>
                <w:sz w:val="24"/>
              </w:rPr>
            </w:pP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住建局</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15</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12</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continue"/>
            <w:tcBorders>
              <w:left w:val="single" w:color="auto" w:sz="4" w:space="0"/>
              <w:right w:val="single" w:color="auto" w:sz="4" w:space="0"/>
            </w:tcBorders>
            <w:noWrap w:val="0"/>
            <w:vAlign w:val="center"/>
          </w:tcPr>
          <w:p>
            <w:pPr>
              <w:adjustRightInd w:val="0"/>
              <w:snapToGrid w:val="0"/>
              <w:rPr>
                <w:sz w:val="24"/>
              </w:rPr>
            </w:pP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商务局</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15</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12</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continue"/>
            <w:tcBorders>
              <w:left w:val="single" w:color="auto" w:sz="4" w:space="0"/>
              <w:right w:val="single" w:color="auto" w:sz="4" w:space="0"/>
            </w:tcBorders>
            <w:noWrap w:val="0"/>
            <w:vAlign w:val="center"/>
          </w:tcPr>
          <w:p>
            <w:pPr>
              <w:adjustRightInd w:val="0"/>
              <w:snapToGrid w:val="0"/>
              <w:rPr>
                <w:sz w:val="24"/>
              </w:rPr>
            </w:pP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文化旅游局</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15</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12</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continue"/>
            <w:tcBorders>
              <w:left w:val="single" w:color="auto" w:sz="4" w:space="0"/>
              <w:right w:val="single" w:color="auto" w:sz="4" w:space="0"/>
            </w:tcBorders>
            <w:noWrap w:val="0"/>
            <w:vAlign w:val="center"/>
          </w:tcPr>
          <w:p>
            <w:pPr>
              <w:adjustRightInd w:val="0"/>
              <w:snapToGrid w:val="0"/>
              <w:rPr>
                <w:sz w:val="24"/>
              </w:rPr>
            </w:pP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地方金融监管局</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15</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12</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三类</w:t>
            </w:r>
          </w:p>
          <w:p>
            <w:pPr>
              <w:tabs>
                <w:tab w:val="left" w:pos="616"/>
              </w:tabs>
              <w:adjustRightInd w:val="0"/>
              <w:snapToGrid w:val="0"/>
              <w:jc w:val="center"/>
              <w:rPr>
                <w:sz w:val="24"/>
              </w:rPr>
            </w:pPr>
            <w:r>
              <w:rPr>
                <w:sz w:val="24"/>
              </w:rPr>
              <w:t>（10）</w:t>
            </w: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财政局</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4000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12</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sz w:val="24"/>
              </w:rPr>
            </w:pP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人社局</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4000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12</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sz w:val="24"/>
              </w:rPr>
            </w:pP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农业农村局</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4000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12</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sz w:val="24"/>
              </w:rPr>
            </w:pP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海洋和渔业局</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4000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12</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sz w:val="24"/>
              </w:rPr>
            </w:pP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卫生健康局</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4000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12</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sz w:val="24"/>
              </w:rPr>
            </w:pP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市场监管局</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4000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12</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sz w:val="24"/>
              </w:rPr>
            </w:pP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自然资源局</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4000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12</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sz w:val="24"/>
              </w:rPr>
            </w:pP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民政局</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4000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12</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sz w:val="24"/>
              </w:rPr>
            </w:pP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科技局</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4000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12</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871"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sz w:val="24"/>
              </w:rPr>
            </w:pPr>
          </w:p>
        </w:tc>
        <w:tc>
          <w:tcPr>
            <w:tcW w:w="1938"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sz w:val="24"/>
              </w:rPr>
            </w:pPr>
            <w:r>
              <w:rPr>
                <w:sz w:val="24"/>
              </w:rPr>
              <w:t>教体局</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20000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4000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12</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10</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exact"/>
        </w:trPr>
        <w:tc>
          <w:tcPr>
            <w:tcW w:w="2809"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rFonts w:eastAsia="黑体"/>
                <w:sz w:val="24"/>
              </w:rPr>
            </w:pPr>
            <w:r>
              <w:rPr>
                <w:rFonts w:eastAsia="黑体"/>
                <w:sz w:val="24"/>
              </w:rPr>
              <w:t>合计</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b/>
                <w:bCs/>
                <w:sz w:val="24"/>
              </w:rPr>
            </w:pPr>
            <w:r>
              <w:rPr>
                <w:b/>
                <w:bCs/>
                <w:sz w:val="24"/>
              </w:rPr>
              <w:t>110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b/>
                <w:bCs/>
                <w:sz w:val="24"/>
              </w:rPr>
            </w:pPr>
            <w:r>
              <w:rPr>
                <w:b/>
                <w:bCs/>
                <w:sz w:val="24"/>
              </w:rPr>
              <w:t>30</w:t>
            </w:r>
          </w:p>
        </w:tc>
        <w:tc>
          <w:tcPr>
            <w:tcW w:w="1022" w:type="dxa"/>
            <w:tcBorders>
              <w:top w:val="single" w:color="auto" w:sz="4" w:space="0"/>
              <w:left w:val="single" w:color="auto" w:sz="4" w:space="0"/>
              <w:bottom w:val="single" w:color="auto" w:sz="4" w:space="0"/>
              <w:right w:val="single" w:color="auto" w:sz="4" w:space="0"/>
            </w:tcBorders>
            <w:noWrap w:val="0"/>
            <w:vAlign w:val="center"/>
          </w:tcPr>
          <w:p>
            <w:pPr>
              <w:tabs>
                <w:tab w:val="left" w:pos="616"/>
              </w:tabs>
              <w:adjustRightInd w:val="0"/>
              <w:snapToGrid w:val="0"/>
              <w:jc w:val="center"/>
              <w:rPr>
                <w:b/>
                <w:bCs/>
                <w:sz w:val="24"/>
              </w:rPr>
            </w:pPr>
            <w:r>
              <w:rPr>
                <w:b/>
                <w:bCs/>
                <w:sz w:val="24"/>
              </w:rPr>
              <w:t>16</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b/>
                <w:bCs/>
                <w:sz w:val="24"/>
              </w:rPr>
            </w:pPr>
            <w:r>
              <w:rPr>
                <w:b/>
                <w:bCs/>
                <w:sz w:val="24"/>
              </w:rPr>
              <w:t>310</w:t>
            </w:r>
          </w:p>
        </w:tc>
        <w:tc>
          <w:tcPr>
            <w:tcW w:w="8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b/>
                <w:bCs/>
                <w:sz w:val="24"/>
              </w:rPr>
            </w:pPr>
            <w:r>
              <w:rPr>
                <w:b/>
                <w:bCs/>
                <w:sz w:val="24"/>
              </w:rPr>
              <w:t>232</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b/>
                <w:bCs/>
                <w:sz w:val="24"/>
              </w:rPr>
            </w:pPr>
            <w:r>
              <w:rPr>
                <w:b/>
                <w:bCs/>
                <w:sz w:val="24"/>
              </w:rPr>
              <w:t>90</w:t>
            </w:r>
          </w:p>
        </w:tc>
      </w:tr>
    </w:tbl>
    <w:p>
      <w:pPr>
        <w:snapToGrid w:val="0"/>
        <w:ind w:left="28" w:leftChars="9" w:firstLine="1312" w:firstLineChars="415"/>
        <w:rPr>
          <w:rFonts w:hint="eastAsia"/>
          <w:szCs w:val="28"/>
        </w:rPr>
      </w:pPr>
    </w:p>
    <w:p>
      <w:pPr>
        <w:ind w:right="309" w:rightChars="98" w:firstLine="315" w:firstLineChars="114"/>
        <w:rPr>
          <w:sz w:val="28"/>
          <w:szCs w:val="28"/>
        </w:rPr>
      </w:pPr>
      <w:r>
        <w:rPr>
          <w:sz w:val="28"/>
          <w:szCs w:val="28"/>
          <w:lang/>
        </w:rPr>
        <w:pict>
          <v:line id="_x0000_s1287" o:spid="_x0000_s1287" o:spt="20" style="position:absolute;left:0pt;margin-left:0pt;margin-top:1.05pt;height:0pt;width:442.2pt;z-index:251662336;mso-width-relative:page;mso-height-relative:page;" coordsize="21600,21600">
            <v:path arrowok="t"/>
            <v:fill focussize="0,0"/>
            <v:stroke/>
            <v:imagedata o:title=""/>
            <o:lock v:ext="edit"/>
          </v:line>
        </w:pict>
      </w:r>
      <w:r>
        <w:rPr>
          <w:sz w:val="28"/>
          <w:szCs w:val="28"/>
        </w:rPr>
        <w:pict>
          <v:line id="_x0000_s1286" o:spid="_x0000_s1286" o:spt="20" style="position:absolute;left:0pt;margin-left:0pt;margin-top:27.55pt;height:0pt;width:442.2pt;z-index:251661312;mso-width-relative:page;mso-height-relative:page;" coordsize="21600,21600">
            <v:path arrowok="t"/>
            <v:fill focussize="0,0"/>
            <v:stroke/>
            <v:imagedata o:title=""/>
            <o:lock v:ext="edit"/>
          </v:line>
        </w:pict>
      </w:r>
      <w:r>
        <w:rPr>
          <w:sz w:val="28"/>
          <w:szCs w:val="28"/>
        </w:rPr>
        <w:t xml:space="preserve">烟台市芝罘区人民政府办公室     </w:t>
      </w:r>
      <w:r>
        <w:rPr>
          <w:rFonts w:hint="eastAsia"/>
          <w:sz w:val="28"/>
          <w:szCs w:val="28"/>
        </w:rPr>
        <w:t xml:space="preserve"> </w:t>
      </w:r>
      <w:r>
        <w:rPr>
          <w:sz w:val="28"/>
          <w:szCs w:val="28"/>
        </w:rPr>
        <w:t xml:space="preserve">   </w:t>
      </w:r>
      <w:r>
        <w:rPr>
          <w:rFonts w:hint="eastAsia"/>
          <w:sz w:val="28"/>
          <w:szCs w:val="28"/>
        </w:rPr>
        <w:t xml:space="preserve"> </w:t>
      </w:r>
      <w:r>
        <w:rPr>
          <w:sz w:val="28"/>
          <w:szCs w:val="28"/>
        </w:rPr>
        <w:t xml:space="preserve">     20</w:t>
      </w:r>
      <w:r>
        <w:rPr>
          <w:rFonts w:hint="eastAsia"/>
          <w:sz w:val="28"/>
          <w:szCs w:val="28"/>
        </w:rPr>
        <w:t>22</w:t>
      </w:r>
      <w:r>
        <w:rPr>
          <w:sz w:val="28"/>
          <w:szCs w:val="28"/>
        </w:rPr>
        <w:t>年</w:t>
      </w:r>
      <w:r>
        <w:rPr>
          <w:rFonts w:hint="eastAsia"/>
          <w:sz w:val="28"/>
          <w:szCs w:val="28"/>
        </w:rPr>
        <w:t>6</w:t>
      </w:r>
      <w:r>
        <w:rPr>
          <w:sz w:val="28"/>
          <w:szCs w:val="28"/>
        </w:rPr>
        <w:t>月</w:t>
      </w:r>
      <w:r>
        <w:rPr>
          <w:rFonts w:hint="eastAsia"/>
          <w:sz w:val="28"/>
          <w:szCs w:val="28"/>
        </w:rPr>
        <w:t>1</w:t>
      </w:r>
      <w:r>
        <w:rPr>
          <w:sz w:val="28"/>
          <w:szCs w:val="28"/>
        </w:rPr>
        <w:t>日印发</w:t>
      </w:r>
    </w:p>
    <w:sectPr>
      <w:pgSz w:w="11906" w:h="16838"/>
      <w:pgMar w:top="2155" w:right="1531" w:bottom="2155" w:left="1531" w:header="851" w:footer="1871" w:gutter="0"/>
      <w:cols w:space="720" w:num="1"/>
      <w:docGrid w:type="linesAndChars" w:linePitch="56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CAD53F0A-033A-4806-8B71-0976B258C9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54DA5FC1-789D-4A79-9495-F8E552048C05}"/>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方正大黑简体">
    <w:altName w:val="黑体"/>
    <w:panose1 w:val="03000509000000000000"/>
    <w:charset w:val="86"/>
    <w:family w:val="script"/>
    <w:pitch w:val="default"/>
    <w:sig w:usb0="00000001" w:usb1="080E0000" w:usb2="00000010" w:usb3="00000000" w:csb0="00040000" w:csb1="00000000"/>
  </w:font>
  <w:font w:name="PMingLiU">
    <w:altName w:val="PMingLiU-ExtB"/>
    <w:panose1 w:val="02020500000000000000"/>
    <w:charset w:val="88"/>
    <w:family w:val="roman"/>
    <w:pitch w:val="default"/>
    <w:sig w:usb0="A00002FF" w:usb1="2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新宋体">
    <w:panose1 w:val="02010609030101010101"/>
    <w:charset w:val="86"/>
    <w:family w:val="modern"/>
    <w:pitch w:val="default"/>
    <w:sig w:usb0="00000283" w:usb1="288F0000" w:usb2="0000000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embedRegular r:id="rId3" w:fontKey="{662E8466-44AE-4A9F-813E-6AA5FE9C4781}"/>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4" w:fontKey="{90F04D5A-F8C2-4427-9AD5-DABD468F4063}"/>
  </w:font>
  <w:font w:name="楷体_GB2312">
    <w:panose1 w:val="02010609030101010101"/>
    <w:charset w:val="86"/>
    <w:family w:val="modern"/>
    <w:pitch w:val="default"/>
    <w:sig w:usb0="00000001" w:usb1="080E0000" w:usb2="00000000" w:usb3="00000000" w:csb0="00040000" w:csb1="00000000"/>
    <w:embedRegular r:id="rId5" w:fontKey="{BB2D203C-00AA-4264-A125-7722435F733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outside" w:y="1"/>
      <w:rPr>
        <w:rStyle w:val="26"/>
        <w:sz w:val="28"/>
        <w:szCs w:val="28"/>
      </w:rPr>
    </w:pPr>
    <w:r>
      <w:rPr>
        <w:rStyle w:val="26"/>
        <w:sz w:val="28"/>
        <w:szCs w:val="28"/>
      </w:rPr>
      <w:t>—</w:t>
    </w:r>
    <w:r>
      <w:rPr>
        <w:rStyle w:val="26"/>
        <w:rFonts w:hint="eastAsia"/>
        <w:sz w:val="28"/>
        <w:szCs w:val="28"/>
      </w:rPr>
      <w:t xml:space="preserve"> </w:t>
    </w:r>
    <w:r>
      <w:rPr>
        <w:rStyle w:val="26"/>
        <w:sz w:val="28"/>
        <w:szCs w:val="28"/>
      </w:rPr>
      <w:fldChar w:fldCharType="begin"/>
    </w:r>
    <w:r>
      <w:rPr>
        <w:rStyle w:val="26"/>
        <w:sz w:val="28"/>
        <w:szCs w:val="28"/>
      </w:rPr>
      <w:instrText xml:space="preserve">PAGE  </w:instrText>
    </w:r>
    <w:r>
      <w:rPr>
        <w:rStyle w:val="26"/>
        <w:sz w:val="28"/>
        <w:szCs w:val="28"/>
      </w:rPr>
      <w:fldChar w:fldCharType="separate"/>
    </w:r>
    <w:r>
      <w:rPr>
        <w:rStyle w:val="26"/>
        <w:sz w:val="28"/>
        <w:szCs w:val="28"/>
        <w:lang/>
      </w:rPr>
      <w:t>12</w:t>
    </w:r>
    <w:r>
      <w:rPr>
        <w:rStyle w:val="26"/>
        <w:sz w:val="28"/>
        <w:szCs w:val="28"/>
      </w:rPr>
      <w:fldChar w:fldCharType="end"/>
    </w:r>
    <w:r>
      <w:rPr>
        <w:rStyle w:val="26"/>
        <w:rFonts w:hint="eastAsia"/>
        <w:sz w:val="28"/>
        <w:szCs w:val="28"/>
      </w:rPr>
      <w:t xml:space="preserve"> </w:t>
    </w:r>
    <w:r>
      <w:rPr>
        <w:rStyle w:val="26"/>
        <w:sz w:val="28"/>
        <w:szCs w:val="28"/>
      </w:rPr>
      <w:t>—</w:t>
    </w:r>
  </w:p>
  <w:p>
    <w:pPr>
      <w:pStyle w:val="1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outside" w:y="1"/>
      <w:rPr>
        <w:rStyle w:val="26"/>
      </w:rPr>
    </w:pPr>
    <w:r>
      <w:rPr>
        <w:rStyle w:val="26"/>
      </w:rPr>
      <w:fldChar w:fldCharType="begin"/>
    </w:r>
    <w:r>
      <w:rPr>
        <w:rStyle w:val="26"/>
      </w:rPr>
      <w:instrText xml:space="preserve">PAGE  </w:instrText>
    </w:r>
    <w:r>
      <w:rPr>
        <w:rStyle w:val="26"/>
      </w:rPr>
      <w:fldChar w:fldCharType="separate"/>
    </w:r>
    <w:r>
      <w:rPr>
        <w:rStyle w:val="26"/>
        <w:lang/>
      </w:rPr>
      <w:t>2</w:t>
    </w:r>
    <w:r>
      <w:rPr>
        <w:rStyle w:val="26"/>
      </w:rPr>
      <w:fldChar w:fldCharType="end"/>
    </w:r>
  </w:p>
  <w:p>
    <w:pPr>
      <w:pStyle w:val="1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B663BE"/>
    <w:multiLevelType w:val="multilevel"/>
    <w:tmpl w:val="59B663BE"/>
    <w:lvl w:ilvl="0" w:tentative="0">
      <w:start w:val="1"/>
      <w:numFmt w:val="decimal"/>
      <w:pStyle w:val="55"/>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571"/>
        </w:tabs>
        <w:ind w:left="1418"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3141"/>
        </w:tabs>
        <w:ind w:left="2551" w:hanging="850"/>
      </w:pPr>
    </w:lvl>
    <w:lvl w:ilvl="5" w:tentative="0">
      <w:start w:val="1"/>
      <w:numFmt w:val="decimal"/>
      <w:lvlText w:val="%1.%2.%3.%4.%5.%6"/>
      <w:lvlJc w:val="left"/>
      <w:pPr>
        <w:tabs>
          <w:tab w:val="left" w:pos="3926"/>
        </w:tabs>
        <w:ind w:left="3260" w:hanging="1134"/>
      </w:pPr>
    </w:lvl>
    <w:lvl w:ilvl="6" w:tentative="0">
      <w:start w:val="1"/>
      <w:numFmt w:val="decimal"/>
      <w:lvlText w:val="%1.%2.%3.%4.%5.%6.%7"/>
      <w:lvlJc w:val="left"/>
      <w:pPr>
        <w:tabs>
          <w:tab w:val="left" w:pos="4351"/>
        </w:tabs>
        <w:ind w:left="3827" w:hanging="1276"/>
      </w:pPr>
    </w:lvl>
    <w:lvl w:ilvl="7" w:tentative="0">
      <w:start w:val="1"/>
      <w:numFmt w:val="decimal"/>
      <w:lvlText w:val="%1.%2.%3.%4.%5.%6.%7.%8"/>
      <w:lvlJc w:val="left"/>
      <w:pPr>
        <w:tabs>
          <w:tab w:val="left" w:pos="5136"/>
        </w:tabs>
        <w:ind w:left="4394" w:hanging="1418"/>
      </w:pPr>
    </w:lvl>
    <w:lvl w:ilvl="8" w:tentative="0">
      <w:start w:val="1"/>
      <w:numFmt w:val="decimal"/>
      <w:lvlText w:val="%1.%2.%3.%4.%5.%6.%7.%8.%9"/>
      <w:lvlJc w:val="left"/>
      <w:pPr>
        <w:tabs>
          <w:tab w:val="left" w:pos="5922"/>
        </w:tabs>
        <w:ind w:left="5102" w:hanging="17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569"/>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4184"/>
    <w:rsid w:val="0000223F"/>
    <w:rsid w:val="00007EDE"/>
    <w:rsid w:val="00010262"/>
    <w:rsid w:val="00010E16"/>
    <w:rsid w:val="00011268"/>
    <w:rsid w:val="00014E37"/>
    <w:rsid w:val="00017BC9"/>
    <w:rsid w:val="00024010"/>
    <w:rsid w:val="00025008"/>
    <w:rsid w:val="00025E7B"/>
    <w:rsid w:val="00026363"/>
    <w:rsid w:val="000264F8"/>
    <w:rsid w:val="00027338"/>
    <w:rsid w:val="00030674"/>
    <w:rsid w:val="00031DA7"/>
    <w:rsid w:val="00032A97"/>
    <w:rsid w:val="00033C74"/>
    <w:rsid w:val="0003536E"/>
    <w:rsid w:val="00036371"/>
    <w:rsid w:val="00037028"/>
    <w:rsid w:val="0003734B"/>
    <w:rsid w:val="000373F5"/>
    <w:rsid w:val="000374E8"/>
    <w:rsid w:val="000400CB"/>
    <w:rsid w:val="000432D5"/>
    <w:rsid w:val="00043307"/>
    <w:rsid w:val="0005272C"/>
    <w:rsid w:val="0005397B"/>
    <w:rsid w:val="0005604F"/>
    <w:rsid w:val="00056108"/>
    <w:rsid w:val="00056906"/>
    <w:rsid w:val="00061519"/>
    <w:rsid w:val="000631D6"/>
    <w:rsid w:val="000652C3"/>
    <w:rsid w:val="00071F9E"/>
    <w:rsid w:val="00077043"/>
    <w:rsid w:val="000805B7"/>
    <w:rsid w:val="00086140"/>
    <w:rsid w:val="00090373"/>
    <w:rsid w:val="00092F62"/>
    <w:rsid w:val="000976F8"/>
    <w:rsid w:val="00097C0C"/>
    <w:rsid w:val="000A0F78"/>
    <w:rsid w:val="000A539A"/>
    <w:rsid w:val="000B1119"/>
    <w:rsid w:val="000B15F8"/>
    <w:rsid w:val="000B1D2C"/>
    <w:rsid w:val="000B2672"/>
    <w:rsid w:val="000B2E55"/>
    <w:rsid w:val="000B5B34"/>
    <w:rsid w:val="000C151E"/>
    <w:rsid w:val="000C42AF"/>
    <w:rsid w:val="000D01D3"/>
    <w:rsid w:val="000D61EC"/>
    <w:rsid w:val="000D7F75"/>
    <w:rsid w:val="000E0358"/>
    <w:rsid w:val="000E14E7"/>
    <w:rsid w:val="000E2133"/>
    <w:rsid w:val="000E39FB"/>
    <w:rsid w:val="000E4B3E"/>
    <w:rsid w:val="000E59FE"/>
    <w:rsid w:val="000E62C5"/>
    <w:rsid w:val="000F71A3"/>
    <w:rsid w:val="00102269"/>
    <w:rsid w:val="00111CD5"/>
    <w:rsid w:val="00114370"/>
    <w:rsid w:val="00117950"/>
    <w:rsid w:val="00120332"/>
    <w:rsid w:val="001225E1"/>
    <w:rsid w:val="00123773"/>
    <w:rsid w:val="00125645"/>
    <w:rsid w:val="00127720"/>
    <w:rsid w:val="001277FB"/>
    <w:rsid w:val="00130926"/>
    <w:rsid w:val="00131E51"/>
    <w:rsid w:val="001352F1"/>
    <w:rsid w:val="00135BED"/>
    <w:rsid w:val="001361CE"/>
    <w:rsid w:val="001402E4"/>
    <w:rsid w:val="00151253"/>
    <w:rsid w:val="00151A27"/>
    <w:rsid w:val="00151C55"/>
    <w:rsid w:val="00156959"/>
    <w:rsid w:val="00161C14"/>
    <w:rsid w:val="00165E11"/>
    <w:rsid w:val="00166FDE"/>
    <w:rsid w:val="00171ED3"/>
    <w:rsid w:val="00174A29"/>
    <w:rsid w:val="00176397"/>
    <w:rsid w:val="001766B6"/>
    <w:rsid w:val="00176948"/>
    <w:rsid w:val="00183E81"/>
    <w:rsid w:val="00187834"/>
    <w:rsid w:val="0019060C"/>
    <w:rsid w:val="001906AE"/>
    <w:rsid w:val="00194C8F"/>
    <w:rsid w:val="001952E8"/>
    <w:rsid w:val="00196CC6"/>
    <w:rsid w:val="00196D89"/>
    <w:rsid w:val="001A48C8"/>
    <w:rsid w:val="001B2627"/>
    <w:rsid w:val="001B3268"/>
    <w:rsid w:val="001B3A9E"/>
    <w:rsid w:val="001B6886"/>
    <w:rsid w:val="001C1709"/>
    <w:rsid w:val="001C1FA5"/>
    <w:rsid w:val="001C2796"/>
    <w:rsid w:val="001C4CCB"/>
    <w:rsid w:val="001C4D05"/>
    <w:rsid w:val="001D36D4"/>
    <w:rsid w:val="001D573D"/>
    <w:rsid w:val="001D6582"/>
    <w:rsid w:val="001F49D5"/>
    <w:rsid w:val="001F4B8E"/>
    <w:rsid w:val="00200133"/>
    <w:rsid w:val="00203CA0"/>
    <w:rsid w:val="00207313"/>
    <w:rsid w:val="002075F0"/>
    <w:rsid w:val="00213C2A"/>
    <w:rsid w:val="00220741"/>
    <w:rsid w:val="00222657"/>
    <w:rsid w:val="00222907"/>
    <w:rsid w:val="00222E6B"/>
    <w:rsid w:val="002321FD"/>
    <w:rsid w:val="002327DB"/>
    <w:rsid w:val="00235414"/>
    <w:rsid w:val="00236AFB"/>
    <w:rsid w:val="00237867"/>
    <w:rsid w:val="002406D8"/>
    <w:rsid w:val="002424EA"/>
    <w:rsid w:val="002442A0"/>
    <w:rsid w:val="002464A1"/>
    <w:rsid w:val="00250DDC"/>
    <w:rsid w:val="00252F27"/>
    <w:rsid w:val="00260895"/>
    <w:rsid w:val="00262DAA"/>
    <w:rsid w:val="00263DF0"/>
    <w:rsid w:val="00270CDC"/>
    <w:rsid w:val="0027276E"/>
    <w:rsid w:val="00275DE3"/>
    <w:rsid w:val="00282BB8"/>
    <w:rsid w:val="00284188"/>
    <w:rsid w:val="00286EE0"/>
    <w:rsid w:val="00287AC3"/>
    <w:rsid w:val="00287ECA"/>
    <w:rsid w:val="00295820"/>
    <w:rsid w:val="00296107"/>
    <w:rsid w:val="002A265A"/>
    <w:rsid w:val="002A4CE7"/>
    <w:rsid w:val="002A7A77"/>
    <w:rsid w:val="002B0B92"/>
    <w:rsid w:val="002B0D5A"/>
    <w:rsid w:val="002B2831"/>
    <w:rsid w:val="002B4C02"/>
    <w:rsid w:val="002B678C"/>
    <w:rsid w:val="002B7663"/>
    <w:rsid w:val="002C4D58"/>
    <w:rsid w:val="002D0492"/>
    <w:rsid w:val="002D1EA0"/>
    <w:rsid w:val="002D438D"/>
    <w:rsid w:val="002D44D4"/>
    <w:rsid w:val="002D502B"/>
    <w:rsid w:val="002D6399"/>
    <w:rsid w:val="002D689C"/>
    <w:rsid w:val="002E256B"/>
    <w:rsid w:val="002E4E00"/>
    <w:rsid w:val="002F21DF"/>
    <w:rsid w:val="002F2AF9"/>
    <w:rsid w:val="002F7FF7"/>
    <w:rsid w:val="00301D54"/>
    <w:rsid w:val="003046EF"/>
    <w:rsid w:val="003054AD"/>
    <w:rsid w:val="003057B7"/>
    <w:rsid w:val="00305DE6"/>
    <w:rsid w:val="00307481"/>
    <w:rsid w:val="00312660"/>
    <w:rsid w:val="00312969"/>
    <w:rsid w:val="0031730E"/>
    <w:rsid w:val="00317885"/>
    <w:rsid w:val="00320C32"/>
    <w:rsid w:val="00324C3B"/>
    <w:rsid w:val="003260D7"/>
    <w:rsid w:val="00326BB5"/>
    <w:rsid w:val="00327104"/>
    <w:rsid w:val="00331D06"/>
    <w:rsid w:val="003334BC"/>
    <w:rsid w:val="00335320"/>
    <w:rsid w:val="00335C28"/>
    <w:rsid w:val="00344EB2"/>
    <w:rsid w:val="00347E56"/>
    <w:rsid w:val="003540D4"/>
    <w:rsid w:val="00360D99"/>
    <w:rsid w:val="00361A8A"/>
    <w:rsid w:val="0037013F"/>
    <w:rsid w:val="0037015A"/>
    <w:rsid w:val="00370EA8"/>
    <w:rsid w:val="003727B4"/>
    <w:rsid w:val="00374079"/>
    <w:rsid w:val="00374288"/>
    <w:rsid w:val="0037651C"/>
    <w:rsid w:val="00377584"/>
    <w:rsid w:val="00380286"/>
    <w:rsid w:val="00381560"/>
    <w:rsid w:val="003843FB"/>
    <w:rsid w:val="00384468"/>
    <w:rsid w:val="0038483C"/>
    <w:rsid w:val="00384842"/>
    <w:rsid w:val="00391507"/>
    <w:rsid w:val="00393803"/>
    <w:rsid w:val="003A5415"/>
    <w:rsid w:val="003A618B"/>
    <w:rsid w:val="003B29B7"/>
    <w:rsid w:val="003B3425"/>
    <w:rsid w:val="003B6626"/>
    <w:rsid w:val="003B7CCC"/>
    <w:rsid w:val="003C3258"/>
    <w:rsid w:val="003C3C61"/>
    <w:rsid w:val="003C6080"/>
    <w:rsid w:val="003D01E8"/>
    <w:rsid w:val="003D1F9F"/>
    <w:rsid w:val="003D3A02"/>
    <w:rsid w:val="003E6A18"/>
    <w:rsid w:val="003F0BB2"/>
    <w:rsid w:val="003F1081"/>
    <w:rsid w:val="003F347F"/>
    <w:rsid w:val="004003E9"/>
    <w:rsid w:val="00400924"/>
    <w:rsid w:val="00407118"/>
    <w:rsid w:val="00414E8E"/>
    <w:rsid w:val="0041597B"/>
    <w:rsid w:val="00421638"/>
    <w:rsid w:val="00423C97"/>
    <w:rsid w:val="0042587B"/>
    <w:rsid w:val="0042687B"/>
    <w:rsid w:val="004306C8"/>
    <w:rsid w:val="00430DE5"/>
    <w:rsid w:val="00432FE2"/>
    <w:rsid w:val="0044000E"/>
    <w:rsid w:val="0044004D"/>
    <w:rsid w:val="004400B9"/>
    <w:rsid w:val="00446651"/>
    <w:rsid w:val="00451AD3"/>
    <w:rsid w:val="00452C1F"/>
    <w:rsid w:val="00456C9A"/>
    <w:rsid w:val="00461982"/>
    <w:rsid w:val="00464F49"/>
    <w:rsid w:val="00481877"/>
    <w:rsid w:val="00482864"/>
    <w:rsid w:val="00492AB0"/>
    <w:rsid w:val="004933E4"/>
    <w:rsid w:val="00494252"/>
    <w:rsid w:val="004958AB"/>
    <w:rsid w:val="00495EF3"/>
    <w:rsid w:val="004962BE"/>
    <w:rsid w:val="004A2C90"/>
    <w:rsid w:val="004A4C89"/>
    <w:rsid w:val="004B0766"/>
    <w:rsid w:val="004B71F1"/>
    <w:rsid w:val="004C0635"/>
    <w:rsid w:val="004C302E"/>
    <w:rsid w:val="004C68DD"/>
    <w:rsid w:val="004C7C93"/>
    <w:rsid w:val="004D1BB0"/>
    <w:rsid w:val="004D3F6A"/>
    <w:rsid w:val="004E332A"/>
    <w:rsid w:val="004F164F"/>
    <w:rsid w:val="004F2386"/>
    <w:rsid w:val="004F40AB"/>
    <w:rsid w:val="00502E73"/>
    <w:rsid w:val="0050371E"/>
    <w:rsid w:val="00506827"/>
    <w:rsid w:val="00507FFE"/>
    <w:rsid w:val="00510FE0"/>
    <w:rsid w:val="00511F79"/>
    <w:rsid w:val="00515858"/>
    <w:rsid w:val="005163BE"/>
    <w:rsid w:val="00516446"/>
    <w:rsid w:val="00516618"/>
    <w:rsid w:val="0052377E"/>
    <w:rsid w:val="00523901"/>
    <w:rsid w:val="00523D68"/>
    <w:rsid w:val="00526A8C"/>
    <w:rsid w:val="00527D78"/>
    <w:rsid w:val="005300CF"/>
    <w:rsid w:val="0053062A"/>
    <w:rsid w:val="00533A9D"/>
    <w:rsid w:val="005419E8"/>
    <w:rsid w:val="00544AA2"/>
    <w:rsid w:val="00552D6C"/>
    <w:rsid w:val="0055516C"/>
    <w:rsid w:val="005578B4"/>
    <w:rsid w:val="0056103E"/>
    <w:rsid w:val="00562CF3"/>
    <w:rsid w:val="00563C57"/>
    <w:rsid w:val="00567A91"/>
    <w:rsid w:val="005716AA"/>
    <w:rsid w:val="00574169"/>
    <w:rsid w:val="005745FB"/>
    <w:rsid w:val="00577B4E"/>
    <w:rsid w:val="00580EFF"/>
    <w:rsid w:val="005838AB"/>
    <w:rsid w:val="005844F1"/>
    <w:rsid w:val="00585373"/>
    <w:rsid w:val="00585CEB"/>
    <w:rsid w:val="005866F6"/>
    <w:rsid w:val="00587685"/>
    <w:rsid w:val="0059011C"/>
    <w:rsid w:val="00591738"/>
    <w:rsid w:val="00591FCD"/>
    <w:rsid w:val="00592D7D"/>
    <w:rsid w:val="005A08C8"/>
    <w:rsid w:val="005A170A"/>
    <w:rsid w:val="005A23CE"/>
    <w:rsid w:val="005A7CEA"/>
    <w:rsid w:val="005B6757"/>
    <w:rsid w:val="005C065A"/>
    <w:rsid w:val="005C1935"/>
    <w:rsid w:val="005C444E"/>
    <w:rsid w:val="005C5092"/>
    <w:rsid w:val="005C5942"/>
    <w:rsid w:val="005C5FB5"/>
    <w:rsid w:val="005D0E70"/>
    <w:rsid w:val="005D2C90"/>
    <w:rsid w:val="005D7BBA"/>
    <w:rsid w:val="005E21A5"/>
    <w:rsid w:val="005E2AEA"/>
    <w:rsid w:val="005E3343"/>
    <w:rsid w:val="005F0D89"/>
    <w:rsid w:val="005F123D"/>
    <w:rsid w:val="005F5DB3"/>
    <w:rsid w:val="00604184"/>
    <w:rsid w:val="006060B9"/>
    <w:rsid w:val="00606543"/>
    <w:rsid w:val="00610E77"/>
    <w:rsid w:val="00611CD1"/>
    <w:rsid w:val="00612729"/>
    <w:rsid w:val="006138DE"/>
    <w:rsid w:val="00615097"/>
    <w:rsid w:val="0061593E"/>
    <w:rsid w:val="00616475"/>
    <w:rsid w:val="00621082"/>
    <w:rsid w:val="00621734"/>
    <w:rsid w:val="0062219B"/>
    <w:rsid w:val="006224D7"/>
    <w:rsid w:val="0063032F"/>
    <w:rsid w:val="00633187"/>
    <w:rsid w:val="006341D1"/>
    <w:rsid w:val="006433BA"/>
    <w:rsid w:val="00645798"/>
    <w:rsid w:val="006536A9"/>
    <w:rsid w:val="0065719C"/>
    <w:rsid w:val="006571DA"/>
    <w:rsid w:val="00657469"/>
    <w:rsid w:val="00670D5F"/>
    <w:rsid w:val="00671060"/>
    <w:rsid w:val="00671E58"/>
    <w:rsid w:val="00674FFC"/>
    <w:rsid w:val="00677EE5"/>
    <w:rsid w:val="00683BFF"/>
    <w:rsid w:val="00686CFA"/>
    <w:rsid w:val="00690065"/>
    <w:rsid w:val="006A0DAD"/>
    <w:rsid w:val="006A4E85"/>
    <w:rsid w:val="006A743D"/>
    <w:rsid w:val="006B459D"/>
    <w:rsid w:val="006B4AFE"/>
    <w:rsid w:val="006C022E"/>
    <w:rsid w:val="006C4A76"/>
    <w:rsid w:val="006D0849"/>
    <w:rsid w:val="006D0C24"/>
    <w:rsid w:val="006D0DFF"/>
    <w:rsid w:val="006D37B8"/>
    <w:rsid w:val="006D3CD0"/>
    <w:rsid w:val="006D53F8"/>
    <w:rsid w:val="006E1131"/>
    <w:rsid w:val="006E1805"/>
    <w:rsid w:val="006E290F"/>
    <w:rsid w:val="006E4A1D"/>
    <w:rsid w:val="006F0C2B"/>
    <w:rsid w:val="006F496A"/>
    <w:rsid w:val="0070440D"/>
    <w:rsid w:val="00704883"/>
    <w:rsid w:val="007062CF"/>
    <w:rsid w:val="00706F47"/>
    <w:rsid w:val="00711FAF"/>
    <w:rsid w:val="00716F42"/>
    <w:rsid w:val="00720B6F"/>
    <w:rsid w:val="0072660C"/>
    <w:rsid w:val="00735650"/>
    <w:rsid w:val="007412C7"/>
    <w:rsid w:val="00741E1F"/>
    <w:rsid w:val="007436B1"/>
    <w:rsid w:val="00746948"/>
    <w:rsid w:val="00747B16"/>
    <w:rsid w:val="007501AC"/>
    <w:rsid w:val="007507F0"/>
    <w:rsid w:val="00751CB3"/>
    <w:rsid w:val="00754CD5"/>
    <w:rsid w:val="00755801"/>
    <w:rsid w:val="0075726E"/>
    <w:rsid w:val="007574C9"/>
    <w:rsid w:val="00762910"/>
    <w:rsid w:val="00765312"/>
    <w:rsid w:val="00765E5A"/>
    <w:rsid w:val="00766F17"/>
    <w:rsid w:val="00767B58"/>
    <w:rsid w:val="007707E3"/>
    <w:rsid w:val="00773265"/>
    <w:rsid w:val="00773477"/>
    <w:rsid w:val="007738CF"/>
    <w:rsid w:val="00773FB1"/>
    <w:rsid w:val="007765A3"/>
    <w:rsid w:val="007833C9"/>
    <w:rsid w:val="00784FAC"/>
    <w:rsid w:val="00786CF4"/>
    <w:rsid w:val="00793F72"/>
    <w:rsid w:val="00795222"/>
    <w:rsid w:val="007A1659"/>
    <w:rsid w:val="007B280D"/>
    <w:rsid w:val="007B342A"/>
    <w:rsid w:val="007B64B5"/>
    <w:rsid w:val="007B6755"/>
    <w:rsid w:val="007B7BB5"/>
    <w:rsid w:val="007C1ACD"/>
    <w:rsid w:val="007C3C60"/>
    <w:rsid w:val="007C4731"/>
    <w:rsid w:val="007C6F7E"/>
    <w:rsid w:val="007D0140"/>
    <w:rsid w:val="007D6D58"/>
    <w:rsid w:val="007E1764"/>
    <w:rsid w:val="007E4777"/>
    <w:rsid w:val="007E5289"/>
    <w:rsid w:val="007E5F8E"/>
    <w:rsid w:val="007E6092"/>
    <w:rsid w:val="007F04C0"/>
    <w:rsid w:val="007F0740"/>
    <w:rsid w:val="007F2714"/>
    <w:rsid w:val="007F4DB9"/>
    <w:rsid w:val="007F5F71"/>
    <w:rsid w:val="00801004"/>
    <w:rsid w:val="008052B5"/>
    <w:rsid w:val="00805EA9"/>
    <w:rsid w:val="0080722D"/>
    <w:rsid w:val="0080726F"/>
    <w:rsid w:val="0081167F"/>
    <w:rsid w:val="00811E55"/>
    <w:rsid w:val="008147F4"/>
    <w:rsid w:val="00814D68"/>
    <w:rsid w:val="00816BF4"/>
    <w:rsid w:val="008218DA"/>
    <w:rsid w:val="00823182"/>
    <w:rsid w:val="00823723"/>
    <w:rsid w:val="008327BB"/>
    <w:rsid w:val="00841853"/>
    <w:rsid w:val="0084528E"/>
    <w:rsid w:val="00847F6D"/>
    <w:rsid w:val="00854908"/>
    <w:rsid w:val="0085494B"/>
    <w:rsid w:val="008610FB"/>
    <w:rsid w:val="008663EE"/>
    <w:rsid w:val="00875328"/>
    <w:rsid w:val="00875539"/>
    <w:rsid w:val="0087614A"/>
    <w:rsid w:val="00882F55"/>
    <w:rsid w:val="00884E59"/>
    <w:rsid w:val="00891BA6"/>
    <w:rsid w:val="00892410"/>
    <w:rsid w:val="00893C46"/>
    <w:rsid w:val="0089518E"/>
    <w:rsid w:val="008974E9"/>
    <w:rsid w:val="008979E6"/>
    <w:rsid w:val="008A0080"/>
    <w:rsid w:val="008A19FA"/>
    <w:rsid w:val="008A2DDF"/>
    <w:rsid w:val="008A35A6"/>
    <w:rsid w:val="008A7621"/>
    <w:rsid w:val="008B1F0B"/>
    <w:rsid w:val="008B2A4C"/>
    <w:rsid w:val="008C3272"/>
    <w:rsid w:val="008C43F0"/>
    <w:rsid w:val="008C5FB5"/>
    <w:rsid w:val="008C7434"/>
    <w:rsid w:val="008D0A87"/>
    <w:rsid w:val="008D0DC5"/>
    <w:rsid w:val="008D1993"/>
    <w:rsid w:val="008D310B"/>
    <w:rsid w:val="008E5B1A"/>
    <w:rsid w:val="008E69F3"/>
    <w:rsid w:val="008E6BA2"/>
    <w:rsid w:val="008F2B24"/>
    <w:rsid w:val="008F3C7A"/>
    <w:rsid w:val="008F560C"/>
    <w:rsid w:val="009002B2"/>
    <w:rsid w:val="00900A3E"/>
    <w:rsid w:val="0090264C"/>
    <w:rsid w:val="00902D22"/>
    <w:rsid w:val="00903C9F"/>
    <w:rsid w:val="0090690B"/>
    <w:rsid w:val="009109C9"/>
    <w:rsid w:val="00910FAA"/>
    <w:rsid w:val="00915949"/>
    <w:rsid w:val="00916E7E"/>
    <w:rsid w:val="00917CA6"/>
    <w:rsid w:val="009260A7"/>
    <w:rsid w:val="0092655F"/>
    <w:rsid w:val="00927718"/>
    <w:rsid w:val="00930B70"/>
    <w:rsid w:val="009320AA"/>
    <w:rsid w:val="0093282B"/>
    <w:rsid w:val="00935097"/>
    <w:rsid w:val="00935A6B"/>
    <w:rsid w:val="00941F5F"/>
    <w:rsid w:val="00942A1D"/>
    <w:rsid w:val="00943367"/>
    <w:rsid w:val="0094340C"/>
    <w:rsid w:val="0095244E"/>
    <w:rsid w:val="00952806"/>
    <w:rsid w:val="00952C03"/>
    <w:rsid w:val="00957703"/>
    <w:rsid w:val="0096020C"/>
    <w:rsid w:val="00961FC5"/>
    <w:rsid w:val="009626C3"/>
    <w:rsid w:val="009632DD"/>
    <w:rsid w:val="00963871"/>
    <w:rsid w:val="0096690B"/>
    <w:rsid w:val="009701B7"/>
    <w:rsid w:val="00972237"/>
    <w:rsid w:val="00973052"/>
    <w:rsid w:val="009761C9"/>
    <w:rsid w:val="009818A1"/>
    <w:rsid w:val="0099170E"/>
    <w:rsid w:val="009926BC"/>
    <w:rsid w:val="00993492"/>
    <w:rsid w:val="00996502"/>
    <w:rsid w:val="009976CD"/>
    <w:rsid w:val="009A0066"/>
    <w:rsid w:val="009A29F7"/>
    <w:rsid w:val="009A4273"/>
    <w:rsid w:val="009A469E"/>
    <w:rsid w:val="009B12A7"/>
    <w:rsid w:val="009B7C29"/>
    <w:rsid w:val="009C3FA8"/>
    <w:rsid w:val="009C57B5"/>
    <w:rsid w:val="009C6A71"/>
    <w:rsid w:val="009D090E"/>
    <w:rsid w:val="009D6853"/>
    <w:rsid w:val="009F5DBC"/>
    <w:rsid w:val="009F6A59"/>
    <w:rsid w:val="00A0283E"/>
    <w:rsid w:val="00A0771D"/>
    <w:rsid w:val="00A15AB4"/>
    <w:rsid w:val="00A16E1F"/>
    <w:rsid w:val="00A26A73"/>
    <w:rsid w:val="00A27EBB"/>
    <w:rsid w:val="00A30872"/>
    <w:rsid w:val="00A32A3D"/>
    <w:rsid w:val="00A32EBC"/>
    <w:rsid w:val="00A33CBA"/>
    <w:rsid w:val="00A35D24"/>
    <w:rsid w:val="00A36C97"/>
    <w:rsid w:val="00A43F54"/>
    <w:rsid w:val="00A528BF"/>
    <w:rsid w:val="00A538B8"/>
    <w:rsid w:val="00A5418F"/>
    <w:rsid w:val="00A5448A"/>
    <w:rsid w:val="00A54CA1"/>
    <w:rsid w:val="00A54E78"/>
    <w:rsid w:val="00A60C4F"/>
    <w:rsid w:val="00A64E66"/>
    <w:rsid w:val="00A658E4"/>
    <w:rsid w:val="00A6613F"/>
    <w:rsid w:val="00A67218"/>
    <w:rsid w:val="00A67646"/>
    <w:rsid w:val="00A7526D"/>
    <w:rsid w:val="00A759E1"/>
    <w:rsid w:val="00A84EBF"/>
    <w:rsid w:val="00A85FB7"/>
    <w:rsid w:val="00A85FF9"/>
    <w:rsid w:val="00A91721"/>
    <w:rsid w:val="00A93F8E"/>
    <w:rsid w:val="00A95BD2"/>
    <w:rsid w:val="00A97040"/>
    <w:rsid w:val="00AA2E23"/>
    <w:rsid w:val="00AA2F6C"/>
    <w:rsid w:val="00AA6A27"/>
    <w:rsid w:val="00AA7813"/>
    <w:rsid w:val="00AB04A5"/>
    <w:rsid w:val="00AB50F6"/>
    <w:rsid w:val="00AB5E1E"/>
    <w:rsid w:val="00AB5EA1"/>
    <w:rsid w:val="00AB65DB"/>
    <w:rsid w:val="00AB672C"/>
    <w:rsid w:val="00AC218F"/>
    <w:rsid w:val="00AC7D07"/>
    <w:rsid w:val="00AD0AC0"/>
    <w:rsid w:val="00AD233D"/>
    <w:rsid w:val="00AD477A"/>
    <w:rsid w:val="00AD6A7F"/>
    <w:rsid w:val="00AE0CC2"/>
    <w:rsid w:val="00AE6849"/>
    <w:rsid w:val="00AF0A23"/>
    <w:rsid w:val="00AF1608"/>
    <w:rsid w:val="00AF20D2"/>
    <w:rsid w:val="00AF3EFD"/>
    <w:rsid w:val="00AF64BE"/>
    <w:rsid w:val="00B04721"/>
    <w:rsid w:val="00B04AF3"/>
    <w:rsid w:val="00B051DD"/>
    <w:rsid w:val="00B053DB"/>
    <w:rsid w:val="00B065D0"/>
    <w:rsid w:val="00B118B0"/>
    <w:rsid w:val="00B13AA3"/>
    <w:rsid w:val="00B1479C"/>
    <w:rsid w:val="00B16F7A"/>
    <w:rsid w:val="00B20377"/>
    <w:rsid w:val="00B245C7"/>
    <w:rsid w:val="00B30A66"/>
    <w:rsid w:val="00B32C19"/>
    <w:rsid w:val="00B40487"/>
    <w:rsid w:val="00B42C11"/>
    <w:rsid w:val="00B4709D"/>
    <w:rsid w:val="00B47BF2"/>
    <w:rsid w:val="00B54101"/>
    <w:rsid w:val="00B5452E"/>
    <w:rsid w:val="00B56B11"/>
    <w:rsid w:val="00B56B4D"/>
    <w:rsid w:val="00B56D8D"/>
    <w:rsid w:val="00B5711F"/>
    <w:rsid w:val="00B60272"/>
    <w:rsid w:val="00B76CB3"/>
    <w:rsid w:val="00B82FCA"/>
    <w:rsid w:val="00B92F53"/>
    <w:rsid w:val="00B9681C"/>
    <w:rsid w:val="00BA0BED"/>
    <w:rsid w:val="00BA130B"/>
    <w:rsid w:val="00BA1FC5"/>
    <w:rsid w:val="00BA2085"/>
    <w:rsid w:val="00BA2190"/>
    <w:rsid w:val="00BA2972"/>
    <w:rsid w:val="00BA4147"/>
    <w:rsid w:val="00BA62F1"/>
    <w:rsid w:val="00BA6C52"/>
    <w:rsid w:val="00BA782C"/>
    <w:rsid w:val="00BA7C9C"/>
    <w:rsid w:val="00BB04BD"/>
    <w:rsid w:val="00BB1E51"/>
    <w:rsid w:val="00BB24A1"/>
    <w:rsid w:val="00BC0ACA"/>
    <w:rsid w:val="00BC30D9"/>
    <w:rsid w:val="00BC322A"/>
    <w:rsid w:val="00BD0353"/>
    <w:rsid w:val="00BD2138"/>
    <w:rsid w:val="00BD3847"/>
    <w:rsid w:val="00BD4FD0"/>
    <w:rsid w:val="00BE040C"/>
    <w:rsid w:val="00BE0D32"/>
    <w:rsid w:val="00BE5833"/>
    <w:rsid w:val="00BE5F63"/>
    <w:rsid w:val="00BE65EF"/>
    <w:rsid w:val="00BE7D0D"/>
    <w:rsid w:val="00BF0ABC"/>
    <w:rsid w:val="00BF1EEE"/>
    <w:rsid w:val="00BF3F35"/>
    <w:rsid w:val="00BF4222"/>
    <w:rsid w:val="00C024DE"/>
    <w:rsid w:val="00C025BD"/>
    <w:rsid w:val="00C026C3"/>
    <w:rsid w:val="00C06A1D"/>
    <w:rsid w:val="00C07306"/>
    <w:rsid w:val="00C07ED4"/>
    <w:rsid w:val="00C10B39"/>
    <w:rsid w:val="00C11EBD"/>
    <w:rsid w:val="00C1374E"/>
    <w:rsid w:val="00C1463C"/>
    <w:rsid w:val="00C153F3"/>
    <w:rsid w:val="00C15CA0"/>
    <w:rsid w:val="00C15E89"/>
    <w:rsid w:val="00C16EF6"/>
    <w:rsid w:val="00C2052F"/>
    <w:rsid w:val="00C2346B"/>
    <w:rsid w:val="00C2351D"/>
    <w:rsid w:val="00C25CCB"/>
    <w:rsid w:val="00C26FAA"/>
    <w:rsid w:val="00C27384"/>
    <w:rsid w:val="00C3084F"/>
    <w:rsid w:val="00C31BC9"/>
    <w:rsid w:val="00C32EBF"/>
    <w:rsid w:val="00C34DAF"/>
    <w:rsid w:val="00C37988"/>
    <w:rsid w:val="00C37A18"/>
    <w:rsid w:val="00C37D46"/>
    <w:rsid w:val="00C4283B"/>
    <w:rsid w:val="00C465C6"/>
    <w:rsid w:val="00C46719"/>
    <w:rsid w:val="00C47CE5"/>
    <w:rsid w:val="00C577D2"/>
    <w:rsid w:val="00C63856"/>
    <w:rsid w:val="00C64C60"/>
    <w:rsid w:val="00C675AB"/>
    <w:rsid w:val="00C73169"/>
    <w:rsid w:val="00C742CC"/>
    <w:rsid w:val="00C77F40"/>
    <w:rsid w:val="00C86535"/>
    <w:rsid w:val="00C90CF7"/>
    <w:rsid w:val="00C91826"/>
    <w:rsid w:val="00CA441A"/>
    <w:rsid w:val="00CA539B"/>
    <w:rsid w:val="00CA6DAF"/>
    <w:rsid w:val="00CB0094"/>
    <w:rsid w:val="00CB4179"/>
    <w:rsid w:val="00CB4654"/>
    <w:rsid w:val="00CC70D2"/>
    <w:rsid w:val="00CC71C5"/>
    <w:rsid w:val="00CC7211"/>
    <w:rsid w:val="00CD1FE7"/>
    <w:rsid w:val="00CD2D69"/>
    <w:rsid w:val="00CD5D62"/>
    <w:rsid w:val="00CD6428"/>
    <w:rsid w:val="00CD6981"/>
    <w:rsid w:val="00CE0054"/>
    <w:rsid w:val="00CE384E"/>
    <w:rsid w:val="00CE743A"/>
    <w:rsid w:val="00CF08F3"/>
    <w:rsid w:val="00CF128F"/>
    <w:rsid w:val="00CF211B"/>
    <w:rsid w:val="00CF2B75"/>
    <w:rsid w:val="00CF31C4"/>
    <w:rsid w:val="00CF3B43"/>
    <w:rsid w:val="00CF5D8F"/>
    <w:rsid w:val="00CF694C"/>
    <w:rsid w:val="00CF7868"/>
    <w:rsid w:val="00CF7E45"/>
    <w:rsid w:val="00D0142D"/>
    <w:rsid w:val="00D0504A"/>
    <w:rsid w:val="00D12102"/>
    <w:rsid w:val="00D1366F"/>
    <w:rsid w:val="00D16FB8"/>
    <w:rsid w:val="00D174C6"/>
    <w:rsid w:val="00D2186F"/>
    <w:rsid w:val="00D219C3"/>
    <w:rsid w:val="00D25DA3"/>
    <w:rsid w:val="00D26CC3"/>
    <w:rsid w:val="00D278AE"/>
    <w:rsid w:val="00D32249"/>
    <w:rsid w:val="00D3535F"/>
    <w:rsid w:val="00D35C4E"/>
    <w:rsid w:val="00D4191A"/>
    <w:rsid w:val="00D44006"/>
    <w:rsid w:val="00D444DB"/>
    <w:rsid w:val="00D44D51"/>
    <w:rsid w:val="00D45A57"/>
    <w:rsid w:val="00D4656E"/>
    <w:rsid w:val="00D57150"/>
    <w:rsid w:val="00D57859"/>
    <w:rsid w:val="00D57BB5"/>
    <w:rsid w:val="00D6081E"/>
    <w:rsid w:val="00D62B09"/>
    <w:rsid w:val="00D62D9F"/>
    <w:rsid w:val="00D64049"/>
    <w:rsid w:val="00D64705"/>
    <w:rsid w:val="00D666B1"/>
    <w:rsid w:val="00D71329"/>
    <w:rsid w:val="00D72C02"/>
    <w:rsid w:val="00D733D5"/>
    <w:rsid w:val="00D82E61"/>
    <w:rsid w:val="00D85160"/>
    <w:rsid w:val="00D877BF"/>
    <w:rsid w:val="00D91082"/>
    <w:rsid w:val="00DA2E3C"/>
    <w:rsid w:val="00DB20DA"/>
    <w:rsid w:val="00DB2681"/>
    <w:rsid w:val="00DB273A"/>
    <w:rsid w:val="00DB2959"/>
    <w:rsid w:val="00DB756B"/>
    <w:rsid w:val="00DC3262"/>
    <w:rsid w:val="00DC62C4"/>
    <w:rsid w:val="00DC693B"/>
    <w:rsid w:val="00DC6CC5"/>
    <w:rsid w:val="00DC7722"/>
    <w:rsid w:val="00DC7749"/>
    <w:rsid w:val="00DD771F"/>
    <w:rsid w:val="00DE6D84"/>
    <w:rsid w:val="00DE770F"/>
    <w:rsid w:val="00DF27DC"/>
    <w:rsid w:val="00DF51AB"/>
    <w:rsid w:val="00DF5646"/>
    <w:rsid w:val="00DF7E15"/>
    <w:rsid w:val="00E0133E"/>
    <w:rsid w:val="00E02652"/>
    <w:rsid w:val="00E03F21"/>
    <w:rsid w:val="00E123D7"/>
    <w:rsid w:val="00E148FD"/>
    <w:rsid w:val="00E1623A"/>
    <w:rsid w:val="00E163D9"/>
    <w:rsid w:val="00E23CF7"/>
    <w:rsid w:val="00E245DC"/>
    <w:rsid w:val="00E25844"/>
    <w:rsid w:val="00E25A7C"/>
    <w:rsid w:val="00E32371"/>
    <w:rsid w:val="00E33DA3"/>
    <w:rsid w:val="00E43F7C"/>
    <w:rsid w:val="00E526D5"/>
    <w:rsid w:val="00E5595D"/>
    <w:rsid w:val="00E55A59"/>
    <w:rsid w:val="00E57309"/>
    <w:rsid w:val="00E574CC"/>
    <w:rsid w:val="00E57DB2"/>
    <w:rsid w:val="00E60361"/>
    <w:rsid w:val="00E625D3"/>
    <w:rsid w:val="00E64F62"/>
    <w:rsid w:val="00E832E5"/>
    <w:rsid w:val="00E8535C"/>
    <w:rsid w:val="00E87B60"/>
    <w:rsid w:val="00E87D87"/>
    <w:rsid w:val="00E87ED3"/>
    <w:rsid w:val="00E9209B"/>
    <w:rsid w:val="00E92F27"/>
    <w:rsid w:val="00E92FAF"/>
    <w:rsid w:val="00EA0D7B"/>
    <w:rsid w:val="00EA272E"/>
    <w:rsid w:val="00EA31EA"/>
    <w:rsid w:val="00EA3268"/>
    <w:rsid w:val="00EB42AB"/>
    <w:rsid w:val="00EC54A0"/>
    <w:rsid w:val="00EC7852"/>
    <w:rsid w:val="00EC7975"/>
    <w:rsid w:val="00ED04B5"/>
    <w:rsid w:val="00ED2380"/>
    <w:rsid w:val="00ED3A32"/>
    <w:rsid w:val="00ED4C6F"/>
    <w:rsid w:val="00ED4D59"/>
    <w:rsid w:val="00EE146C"/>
    <w:rsid w:val="00EE1A7F"/>
    <w:rsid w:val="00EE1CCB"/>
    <w:rsid w:val="00EE3200"/>
    <w:rsid w:val="00EF3AA3"/>
    <w:rsid w:val="00EF6D84"/>
    <w:rsid w:val="00EF75A1"/>
    <w:rsid w:val="00EF7C8E"/>
    <w:rsid w:val="00F02B68"/>
    <w:rsid w:val="00F1086F"/>
    <w:rsid w:val="00F12FBC"/>
    <w:rsid w:val="00F13C37"/>
    <w:rsid w:val="00F148D0"/>
    <w:rsid w:val="00F33A68"/>
    <w:rsid w:val="00F3730E"/>
    <w:rsid w:val="00F45001"/>
    <w:rsid w:val="00F46821"/>
    <w:rsid w:val="00F57A69"/>
    <w:rsid w:val="00F60A7F"/>
    <w:rsid w:val="00F60EFE"/>
    <w:rsid w:val="00F7081A"/>
    <w:rsid w:val="00F72A73"/>
    <w:rsid w:val="00F72BF9"/>
    <w:rsid w:val="00F7566D"/>
    <w:rsid w:val="00F85DB7"/>
    <w:rsid w:val="00F8614F"/>
    <w:rsid w:val="00F921F0"/>
    <w:rsid w:val="00F92776"/>
    <w:rsid w:val="00FA0472"/>
    <w:rsid w:val="00FA294B"/>
    <w:rsid w:val="00FA3D70"/>
    <w:rsid w:val="00FB25F1"/>
    <w:rsid w:val="00FB59E5"/>
    <w:rsid w:val="00FB623B"/>
    <w:rsid w:val="00FB6CAA"/>
    <w:rsid w:val="00FB6D0D"/>
    <w:rsid w:val="00FC0647"/>
    <w:rsid w:val="00FC61EF"/>
    <w:rsid w:val="00FD77E0"/>
    <w:rsid w:val="00FE2CDD"/>
    <w:rsid w:val="00FE3763"/>
    <w:rsid w:val="00FF2ADF"/>
    <w:rsid w:val="06CE0F8E"/>
    <w:rsid w:val="0A3E1A31"/>
    <w:rsid w:val="0A5A59BE"/>
    <w:rsid w:val="1C3E07D3"/>
    <w:rsid w:val="5C290E93"/>
    <w:rsid w:val="5EC9059D"/>
    <w:rsid w:val="5FE47EF8"/>
    <w:rsid w:val="780B74F1"/>
    <w:rsid w:val="7B844A8C"/>
    <w:rsid w:val="7D19515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kern w:val="2"/>
      <w:sz w:val="32"/>
      <w:szCs w:val="24"/>
      <w:lang w:val="en-US" w:eastAsia="zh-CN" w:bidi="ar-SA"/>
    </w:rPr>
  </w:style>
  <w:style w:type="paragraph" w:styleId="2">
    <w:name w:val="heading 1"/>
    <w:basedOn w:val="1"/>
    <w:next w:val="1"/>
    <w:link w:val="31"/>
    <w:qFormat/>
    <w:uiPriority w:val="0"/>
    <w:pPr>
      <w:keepNext/>
      <w:keepLines/>
      <w:spacing w:before="340" w:after="330" w:line="576" w:lineRule="auto"/>
      <w:outlineLvl w:val="0"/>
    </w:pPr>
    <w:rPr>
      <w:rFonts w:eastAsia="宋体"/>
      <w:b/>
      <w:kern w:val="44"/>
      <w:sz w:val="44"/>
    </w:rPr>
  </w:style>
  <w:style w:type="paragraph" w:styleId="3">
    <w:name w:val="heading 2"/>
    <w:basedOn w:val="1"/>
    <w:next w:val="1"/>
    <w:link w:val="32"/>
    <w:qFormat/>
    <w:uiPriority w:val="0"/>
    <w:pPr>
      <w:keepNext/>
      <w:keepLines/>
      <w:spacing w:before="260" w:after="260" w:line="416" w:lineRule="auto"/>
      <w:outlineLvl w:val="1"/>
    </w:pPr>
    <w:rPr>
      <w:rFonts w:ascii="Arial" w:hAnsi="Arial" w:eastAsia="黑体"/>
      <w:b/>
      <w:bCs/>
      <w:szCs w:val="32"/>
    </w:rPr>
  </w:style>
  <w:style w:type="paragraph" w:styleId="4">
    <w:name w:val="heading 3"/>
    <w:basedOn w:val="1"/>
    <w:next w:val="1"/>
    <w:link w:val="33"/>
    <w:qFormat/>
    <w:uiPriority w:val="0"/>
    <w:pPr>
      <w:keepNext/>
      <w:keepLines/>
      <w:spacing w:before="260" w:after="260" w:line="416" w:lineRule="auto"/>
      <w:outlineLvl w:val="2"/>
    </w:pPr>
    <w:rPr>
      <w:b/>
      <w:bCs/>
      <w:szCs w:val="32"/>
    </w:rPr>
  </w:style>
  <w:style w:type="character" w:default="1" w:styleId="23">
    <w:name w:val="Default Paragraph Font"/>
    <w:link w:val="24"/>
    <w:semiHidden/>
    <w:uiPriority w:val="0"/>
  </w:style>
  <w:style w:type="table" w:default="1" w:styleId="21">
    <w:name w:val="Normal Table"/>
    <w:semiHidden/>
    <w:uiPriority w:val="0"/>
    <w:tblPr>
      <w:tblStyle w:val="21"/>
      <w:tblCellMar>
        <w:top w:w="0" w:type="dxa"/>
        <w:left w:w="108" w:type="dxa"/>
        <w:bottom w:w="0" w:type="dxa"/>
        <w:right w:w="108" w:type="dxa"/>
      </w:tblCellMar>
    </w:tblPr>
  </w:style>
  <w:style w:type="paragraph" w:styleId="5">
    <w:name w:val="List Number"/>
    <w:basedOn w:val="1"/>
    <w:uiPriority w:val="0"/>
    <w:rPr>
      <w:rFonts w:eastAsia="宋体"/>
      <w:smallCaps/>
      <w:sz w:val="28"/>
    </w:rPr>
  </w:style>
  <w:style w:type="paragraph" w:styleId="6">
    <w:name w:val="Document Map"/>
    <w:basedOn w:val="1"/>
    <w:semiHidden/>
    <w:uiPriority w:val="0"/>
    <w:pPr>
      <w:shd w:val="clear" w:color="auto" w:fill="000080"/>
    </w:pPr>
  </w:style>
  <w:style w:type="paragraph" w:styleId="7">
    <w:name w:val="annotation text"/>
    <w:basedOn w:val="1"/>
    <w:link w:val="34"/>
    <w:semiHidden/>
    <w:uiPriority w:val="0"/>
    <w:pPr>
      <w:jc w:val="left"/>
    </w:pPr>
    <w:rPr>
      <w:rFonts w:eastAsia="Times New Roman"/>
      <w:kern w:val="0"/>
      <w:sz w:val="20"/>
      <w:szCs w:val="20"/>
      <w:lang/>
    </w:rPr>
  </w:style>
  <w:style w:type="paragraph" w:styleId="8">
    <w:name w:val="Body Text"/>
    <w:basedOn w:val="1"/>
    <w:link w:val="35"/>
    <w:uiPriority w:val="0"/>
    <w:rPr>
      <w:b/>
      <w:szCs w:val="20"/>
    </w:rPr>
  </w:style>
  <w:style w:type="paragraph" w:styleId="9">
    <w:name w:val="Body Text Indent"/>
    <w:basedOn w:val="1"/>
    <w:link w:val="36"/>
    <w:uiPriority w:val="0"/>
    <w:pPr>
      <w:spacing w:after="120"/>
      <w:ind w:left="420" w:leftChars="200"/>
    </w:pPr>
  </w:style>
  <w:style w:type="paragraph" w:styleId="10">
    <w:name w:val="Plain Text"/>
    <w:basedOn w:val="1"/>
    <w:uiPriority w:val="0"/>
    <w:rPr>
      <w:rFonts w:ascii="宋体" w:hAnsi="Courier New"/>
      <w:szCs w:val="20"/>
    </w:rPr>
  </w:style>
  <w:style w:type="paragraph" w:styleId="11">
    <w:name w:val="Date"/>
    <w:basedOn w:val="1"/>
    <w:next w:val="1"/>
    <w:link w:val="37"/>
    <w:uiPriority w:val="0"/>
    <w:pPr>
      <w:ind w:left="100" w:leftChars="2500"/>
    </w:pPr>
  </w:style>
  <w:style w:type="paragraph" w:styleId="12">
    <w:name w:val="Body Text Indent 2"/>
    <w:basedOn w:val="1"/>
    <w:link w:val="38"/>
    <w:qFormat/>
    <w:uiPriority w:val="0"/>
    <w:pPr>
      <w:spacing w:after="120" w:line="480" w:lineRule="auto"/>
      <w:ind w:left="420" w:leftChars="200"/>
    </w:pPr>
    <w:rPr>
      <w:rFonts w:ascii="Calibri" w:hAnsi="Calibri" w:eastAsia="宋体"/>
      <w:sz w:val="21"/>
    </w:rPr>
  </w:style>
  <w:style w:type="paragraph" w:styleId="13">
    <w:name w:val="Balloon Text"/>
    <w:basedOn w:val="1"/>
    <w:link w:val="40"/>
    <w:semiHidden/>
    <w:uiPriority w:val="0"/>
    <w:rPr>
      <w:sz w:val="18"/>
      <w:szCs w:val="18"/>
    </w:rPr>
  </w:style>
  <w:style w:type="paragraph" w:styleId="14">
    <w:name w:val="footer"/>
    <w:basedOn w:val="1"/>
    <w:link w:val="41"/>
    <w:uiPriority w:val="0"/>
    <w:pPr>
      <w:tabs>
        <w:tab w:val="center" w:pos="4153"/>
        <w:tab w:val="right" w:pos="8306"/>
      </w:tabs>
      <w:snapToGrid w:val="0"/>
      <w:jc w:val="left"/>
    </w:pPr>
    <w:rPr>
      <w:sz w:val="18"/>
      <w:szCs w:val="18"/>
    </w:rPr>
  </w:style>
  <w:style w:type="paragraph" w:styleId="15">
    <w:name w:val="header"/>
    <w:basedOn w:val="1"/>
    <w:link w:val="42"/>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semiHidden/>
    <w:uiPriority w:val="0"/>
    <w:pPr>
      <w:tabs>
        <w:tab w:val="right" w:leader="dot" w:pos="13041"/>
      </w:tabs>
      <w:ind w:left="2079" w:leftChars="990"/>
    </w:pPr>
    <w:rPr>
      <w:rFonts w:eastAsia="宋体"/>
      <w:sz w:val="21"/>
    </w:rPr>
  </w:style>
  <w:style w:type="paragraph" w:styleId="17">
    <w:name w:val="Body Text Indent 3"/>
    <w:basedOn w:val="1"/>
    <w:link w:val="43"/>
    <w:uiPriority w:val="0"/>
    <w:pPr>
      <w:spacing w:after="120"/>
      <w:ind w:left="420" w:leftChars="200"/>
    </w:pPr>
    <w:rPr>
      <w:sz w:val="16"/>
      <w:szCs w:val="16"/>
    </w:rPr>
  </w:style>
  <w:style w:type="paragraph" w:styleId="18">
    <w:name w:val="Body Text 2"/>
    <w:basedOn w:val="1"/>
    <w:link w:val="44"/>
    <w:uiPriority w:val="0"/>
    <w:pPr>
      <w:spacing w:line="600" w:lineRule="exact"/>
      <w:jc w:val="center"/>
    </w:pPr>
    <w:rPr>
      <w:rFonts w:ascii="Calibri"/>
      <w:szCs w:val="32"/>
    </w:rPr>
  </w:style>
  <w:style w:type="paragraph" w:styleId="19">
    <w:name w:val="Normal (Web)"/>
    <w:basedOn w:val="1"/>
    <w:uiPriority w:val="0"/>
    <w:pPr>
      <w:widowControl/>
      <w:jc w:val="left"/>
    </w:pPr>
    <w:rPr>
      <w:rFonts w:ascii="宋体" w:hAnsi="宋体" w:eastAsia="宋体" w:cs="宋体"/>
      <w:kern w:val="0"/>
      <w:sz w:val="24"/>
    </w:rPr>
  </w:style>
  <w:style w:type="paragraph" w:styleId="20">
    <w:name w:val="Body Text First Indent 2"/>
    <w:basedOn w:val="9"/>
    <w:uiPriority w:val="0"/>
    <w:pPr>
      <w:ind w:firstLine="420" w:firstLineChars="200"/>
    </w:pPr>
  </w:style>
  <w:style w:type="table" w:styleId="22">
    <w:name w:val="Table Grid"/>
    <w:basedOn w:val="21"/>
    <w:uiPriority w:val="0"/>
    <w:pPr>
      <w:widowControl w:val="0"/>
      <w:jc w:val="both"/>
    </w:pPr>
    <w:tblPr>
      <w:tblStyle w:val="2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
    <w:name w:val="Char Char Char Char Char Char Char"/>
    <w:basedOn w:val="1"/>
    <w:link w:val="23"/>
    <w:uiPriority w:val="0"/>
    <w:pPr>
      <w:widowControl/>
      <w:spacing w:after="160" w:line="240" w:lineRule="exact"/>
      <w:ind w:firstLine="980" w:firstLineChars="350"/>
      <w:jc w:val="left"/>
    </w:pPr>
    <w:rPr>
      <w:rFonts w:ascii="Verdana" w:hAnsi="Verdana"/>
      <w:kern w:val="0"/>
      <w:sz w:val="28"/>
      <w:szCs w:val="28"/>
      <w:lang w:eastAsia="en-US"/>
    </w:rPr>
  </w:style>
  <w:style w:type="character" w:styleId="25">
    <w:name w:val="Strong"/>
    <w:qFormat/>
    <w:uiPriority w:val="0"/>
    <w:rPr>
      <w:b/>
      <w:bCs/>
    </w:rPr>
  </w:style>
  <w:style w:type="character" w:styleId="26">
    <w:name w:val="page number"/>
    <w:basedOn w:val="23"/>
    <w:uiPriority w:val="0"/>
  </w:style>
  <w:style w:type="character" w:styleId="27">
    <w:name w:val="FollowedHyperlink"/>
    <w:basedOn w:val="23"/>
    <w:uiPriority w:val="0"/>
    <w:rPr>
      <w:color w:val="800080"/>
      <w:u w:val="single"/>
    </w:rPr>
  </w:style>
  <w:style w:type="character" w:styleId="28">
    <w:name w:val="Emphasis"/>
    <w:qFormat/>
    <w:uiPriority w:val="0"/>
    <w:rPr>
      <w:i/>
      <w:iCs/>
    </w:rPr>
  </w:style>
  <w:style w:type="character" w:styleId="29">
    <w:name w:val="HTML Variable"/>
    <w:uiPriority w:val="0"/>
    <w:rPr>
      <w:szCs w:val="24"/>
    </w:rPr>
  </w:style>
  <w:style w:type="character" w:styleId="30">
    <w:name w:val="Hyperlink"/>
    <w:uiPriority w:val="0"/>
    <w:rPr>
      <w:color w:val="0000CC"/>
      <w:u w:val="single"/>
    </w:rPr>
  </w:style>
  <w:style w:type="character" w:customStyle="1" w:styleId="31">
    <w:name w:val=" Char Char5"/>
    <w:link w:val="2"/>
    <w:uiPriority w:val="0"/>
    <w:rPr>
      <w:rFonts w:eastAsia="宋体"/>
      <w:b/>
      <w:kern w:val="44"/>
      <w:sz w:val="44"/>
      <w:szCs w:val="24"/>
      <w:lang w:val="en-US" w:eastAsia="zh-CN" w:bidi="ar-SA"/>
    </w:rPr>
  </w:style>
  <w:style w:type="character" w:customStyle="1" w:styleId="32">
    <w:name w:val="标题 2 Char"/>
    <w:link w:val="3"/>
    <w:uiPriority w:val="0"/>
    <w:rPr>
      <w:rFonts w:ascii="Arial" w:hAnsi="Arial" w:eastAsia="黑体"/>
      <w:b/>
      <w:bCs/>
      <w:kern w:val="2"/>
      <w:sz w:val="32"/>
      <w:szCs w:val="32"/>
      <w:lang w:val="en-US" w:eastAsia="zh-CN" w:bidi="ar-SA"/>
    </w:rPr>
  </w:style>
  <w:style w:type="character" w:customStyle="1" w:styleId="33">
    <w:name w:val=" Char Char4"/>
    <w:link w:val="4"/>
    <w:uiPriority w:val="0"/>
    <w:rPr>
      <w:rFonts w:eastAsia="仿宋_GB2312"/>
      <w:b/>
      <w:bCs/>
      <w:kern w:val="2"/>
      <w:sz w:val="32"/>
      <w:szCs w:val="32"/>
      <w:lang w:val="en-US" w:eastAsia="zh-CN" w:bidi="ar-SA"/>
    </w:rPr>
  </w:style>
  <w:style w:type="character" w:customStyle="1" w:styleId="34">
    <w:name w:val=" Char Char"/>
    <w:link w:val="7"/>
    <w:semiHidden/>
    <w:locked/>
    <w:uiPriority w:val="0"/>
    <w:rPr>
      <w:lang w:bidi="ar-SA"/>
    </w:rPr>
  </w:style>
  <w:style w:type="character" w:customStyle="1" w:styleId="35">
    <w:name w:val="正文文本 字符"/>
    <w:link w:val="8"/>
    <w:semiHidden/>
    <w:locked/>
    <w:uiPriority w:val="0"/>
    <w:rPr>
      <w:rFonts w:eastAsia="仿宋_GB2312"/>
      <w:b/>
      <w:kern w:val="2"/>
      <w:sz w:val="32"/>
      <w:lang w:val="en-US" w:eastAsia="zh-CN" w:bidi="ar-SA"/>
    </w:rPr>
  </w:style>
  <w:style w:type="character" w:customStyle="1" w:styleId="36">
    <w:name w:val="正文文本缩进 字符"/>
    <w:link w:val="9"/>
    <w:semiHidden/>
    <w:locked/>
    <w:uiPriority w:val="0"/>
    <w:rPr>
      <w:rFonts w:eastAsia="仿宋_GB2312"/>
      <w:kern w:val="2"/>
      <w:sz w:val="32"/>
      <w:szCs w:val="24"/>
      <w:lang w:val="en-US" w:eastAsia="zh-CN" w:bidi="ar-SA"/>
    </w:rPr>
  </w:style>
  <w:style w:type="character" w:customStyle="1" w:styleId="37">
    <w:name w:val="日期 字符"/>
    <w:link w:val="11"/>
    <w:semiHidden/>
    <w:locked/>
    <w:uiPriority w:val="0"/>
    <w:rPr>
      <w:rFonts w:eastAsia="仿宋_GB2312"/>
      <w:kern w:val="2"/>
      <w:sz w:val="32"/>
      <w:szCs w:val="24"/>
      <w:lang w:val="en-US" w:eastAsia="zh-CN" w:bidi="ar-SA"/>
    </w:rPr>
  </w:style>
  <w:style w:type="character" w:customStyle="1" w:styleId="38">
    <w:name w:val="正文文本缩进 2 Char"/>
    <w:basedOn w:val="23"/>
    <w:link w:val="12"/>
    <w:qFormat/>
    <w:uiPriority w:val="0"/>
    <w:rPr>
      <w:rFonts w:ascii="Calibri" w:hAnsi="Calibri" w:eastAsia="宋体"/>
      <w:kern w:val="2"/>
      <w:sz w:val="21"/>
      <w:szCs w:val="24"/>
      <w:lang w:val="en-US" w:eastAsia="zh-CN" w:bidi="ar-SA"/>
    </w:rPr>
  </w:style>
  <w:style w:type="paragraph" w:customStyle="1" w:styleId="39">
    <w:name w:val=" Char Char Char Char Char Char"/>
    <w:basedOn w:val="1"/>
    <w:link w:val="23"/>
    <w:uiPriority w:val="0"/>
    <w:pPr>
      <w:adjustRightInd w:val="0"/>
      <w:spacing w:line="360" w:lineRule="auto"/>
    </w:pPr>
    <w:rPr>
      <w:rFonts w:eastAsia="宋体"/>
      <w:kern w:val="0"/>
      <w:sz w:val="24"/>
    </w:rPr>
  </w:style>
  <w:style w:type="character" w:customStyle="1" w:styleId="40">
    <w:name w:val=" Char Char3"/>
    <w:link w:val="13"/>
    <w:semiHidden/>
    <w:locked/>
    <w:uiPriority w:val="0"/>
    <w:rPr>
      <w:rFonts w:eastAsia="仿宋_GB2312"/>
      <w:kern w:val="2"/>
      <w:sz w:val="18"/>
      <w:szCs w:val="18"/>
      <w:lang w:val="en-US" w:eastAsia="zh-CN" w:bidi="ar-SA"/>
    </w:rPr>
  </w:style>
  <w:style w:type="character" w:customStyle="1" w:styleId="41">
    <w:name w:val=" Char Char2"/>
    <w:link w:val="14"/>
    <w:uiPriority w:val="0"/>
    <w:rPr>
      <w:rFonts w:eastAsia="仿宋_GB2312"/>
      <w:kern w:val="2"/>
      <w:sz w:val="18"/>
      <w:szCs w:val="18"/>
      <w:lang w:val="en-US" w:eastAsia="zh-CN" w:bidi="ar-SA"/>
    </w:rPr>
  </w:style>
  <w:style w:type="character" w:customStyle="1" w:styleId="42">
    <w:name w:val=" Char Char1"/>
    <w:link w:val="15"/>
    <w:semiHidden/>
    <w:locked/>
    <w:uiPriority w:val="0"/>
    <w:rPr>
      <w:rFonts w:eastAsia="仿宋_GB2312"/>
      <w:kern w:val="2"/>
      <w:sz w:val="18"/>
      <w:szCs w:val="18"/>
      <w:lang w:val="en-US" w:eastAsia="zh-CN" w:bidi="ar-SA"/>
    </w:rPr>
  </w:style>
  <w:style w:type="character" w:customStyle="1" w:styleId="43">
    <w:name w:val="正文文本缩进 3 字符"/>
    <w:link w:val="17"/>
    <w:semiHidden/>
    <w:locked/>
    <w:uiPriority w:val="0"/>
    <w:rPr>
      <w:rFonts w:eastAsia="仿宋_GB2312"/>
      <w:kern w:val="2"/>
      <w:sz w:val="16"/>
      <w:szCs w:val="16"/>
      <w:lang w:val="en-US" w:eastAsia="zh-CN" w:bidi="ar-SA"/>
    </w:rPr>
  </w:style>
  <w:style w:type="character" w:customStyle="1" w:styleId="44">
    <w:name w:val="正文文本 2 字符"/>
    <w:link w:val="18"/>
    <w:semiHidden/>
    <w:locked/>
    <w:uiPriority w:val="0"/>
    <w:rPr>
      <w:rFonts w:ascii="Calibri" w:eastAsia="仿宋_GB2312"/>
      <w:kern w:val="2"/>
      <w:sz w:val="32"/>
      <w:szCs w:val="32"/>
      <w:lang w:val="en-US" w:eastAsia="zh-CN" w:bidi="ar-SA"/>
    </w:rPr>
  </w:style>
  <w:style w:type="paragraph" w:customStyle="1" w:styleId="45">
    <w:name w:val="文号"/>
    <w:basedOn w:val="1"/>
    <w:uiPriority w:val="0"/>
    <w:pPr>
      <w:snapToGrid w:val="0"/>
      <w:spacing w:line="600" w:lineRule="atLeast"/>
      <w:ind w:firstLine="3040" w:firstLineChars="950"/>
    </w:pPr>
    <w:rPr>
      <w:rFonts w:ascii="仿宋_GB2312"/>
      <w:szCs w:val="32"/>
    </w:rPr>
  </w:style>
  <w:style w:type="paragraph" w:customStyle="1" w:styleId="46">
    <w:name w:val="文号1"/>
    <w:basedOn w:val="45"/>
    <w:uiPriority w:val="0"/>
    <w:pPr>
      <w:spacing w:line="360" w:lineRule="auto"/>
      <w:ind w:firstLine="0" w:firstLineChars="0"/>
      <w:jc w:val="center"/>
    </w:pPr>
  </w:style>
  <w:style w:type="paragraph" w:customStyle="1" w:styleId="47">
    <w:name w:val=" Char"/>
    <w:basedOn w:val="1"/>
    <w:uiPriority w:val="0"/>
    <w:pPr>
      <w:spacing w:line="360" w:lineRule="auto"/>
      <w:ind w:firstLine="200" w:firstLineChars="200"/>
    </w:pPr>
    <w:rPr>
      <w:rFonts w:ascii="宋体" w:hAnsi="宋体" w:eastAsia="宋体" w:cs="宋体"/>
      <w:sz w:val="24"/>
    </w:rPr>
  </w:style>
  <w:style w:type="character" w:customStyle="1" w:styleId="48">
    <w:name w:val="审计正文 Char Char"/>
    <w:link w:val="49"/>
    <w:locked/>
    <w:uiPriority w:val="0"/>
    <w:rPr>
      <w:rFonts w:ascii="仿宋_GB2312" w:eastAsia="仿宋_GB2312"/>
      <w:color w:val="000000"/>
      <w:sz w:val="31"/>
      <w:lang w:val="en-US" w:eastAsia="zh-CN" w:bidi="ar-SA"/>
    </w:rPr>
  </w:style>
  <w:style w:type="paragraph" w:customStyle="1" w:styleId="49">
    <w:name w:val="审计正文"/>
    <w:basedOn w:val="1"/>
    <w:link w:val="48"/>
    <w:uiPriority w:val="0"/>
    <w:pPr>
      <w:widowControl/>
      <w:spacing w:line="884" w:lineRule="atLeast"/>
      <w:ind w:firstLine="419"/>
    </w:pPr>
    <w:rPr>
      <w:rFonts w:ascii="仿宋_GB2312"/>
      <w:color w:val="000000"/>
      <w:kern w:val="0"/>
      <w:sz w:val="31"/>
      <w:szCs w:val="20"/>
    </w:rPr>
  </w:style>
  <w:style w:type="paragraph" w:customStyle="1" w:styleId="50">
    <w:name w:val="Default"/>
    <w:uiPriority w:val="0"/>
    <w:pPr>
      <w:widowControl w:val="0"/>
      <w:autoSpaceDE w:val="0"/>
      <w:autoSpaceDN w:val="0"/>
      <w:adjustRightInd w:val="0"/>
    </w:pPr>
    <w:rPr>
      <w:rFonts w:ascii="仿宋_GB2312" w:eastAsia="仿宋_GB2312" w:cs="仿宋_GB2312"/>
      <w:color w:val="000000"/>
      <w:sz w:val="24"/>
      <w:szCs w:val="24"/>
      <w:lang w:val="en-US" w:eastAsia="zh-CN" w:bidi="ar-SA"/>
    </w:rPr>
  </w:style>
  <w:style w:type="paragraph" w:customStyle="1" w:styleId="51">
    <w:name w:val="p0"/>
    <w:basedOn w:val="1"/>
    <w:uiPriority w:val="0"/>
    <w:pPr>
      <w:widowControl/>
    </w:pPr>
    <w:rPr>
      <w:rFonts w:eastAsia="宋体"/>
      <w:kern w:val="0"/>
      <w:sz w:val="21"/>
      <w:szCs w:val="21"/>
    </w:rPr>
  </w:style>
  <w:style w:type="paragraph" w:customStyle="1" w:styleId="52">
    <w:name w:val="p16"/>
    <w:basedOn w:val="1"/>
    <w:uiPriority w:val="0"/>
    <w:pPr>
      <w:widowControl/>
    </w:pPr>
    <w:rPr>
      <w:rFonts w:eastAsia="宋体"/>
      <w:kern w:val="0"/>
      <w:sz w:val="21"/>
      <w:szCs w:val="21"/>
    </w:rPr>
  </w:style>
  <w:style w:type="paragraph" w:customStyle="1" w:styleId="53">
    <w:name w:val=" Char Char Char Char"/>
    <w:basedOn w:val="1"/>
    <w:uiPriority w:val="0"/>
    <w:pPr>
      <w:widowControl/>
      <w:spacing w:after="160" w:line="240" w:lineRule="exact"/>
      <w:jc w:val="left"/>
    </w:pPr>
    <w:rPr>
      <w:rFonts w:eastAsia="宋体"/>
      <w:sz w:val="21"/>
      <w:szCs w:val="20"/>
    </w:rPr>
  </w:style>
  <w:style w:type="paragraph" w:customStyle="1" w:styleId="54">
    <w:name w:val="默认段落字体 Para Char Char Char Char Char Char Char Char Char Char Char Char Char Char Char1 Char Char Char Char"/>
    <w:basedOn w:val="6"/>
    <w:uiPriority w:val="0"/>
    <w:pPr>
      <w:adjustRightInd w:val="0"/>
      <w:spacing w:line="436" w:lineRule="exact"/>
      <w:ind w:left="357"/>
      <w:jc w:val="left"/>
      <w:outlineLvl w:val="3"/>
    </w:pPr>
    <w:rPr>
      <w:rFonts w:ascii="Tahoma" w:hAnsi="Tahoma" w:eastAsia="宋体"/>
      <w:b/>
      <w:sz w:val="24"/>
    </w:rPr>
  </w:style>
  <w:style w:type="paragraph" w:customStyle="1" w:styleId="55">
    <w:name w:val="Char Char Char"/>
    <w:basedOn w:val="1"/>
    <w:semiHidden/>
    <w:uiPriority w:val="0"/>
    <w:pPr>
      <w:widowControl/>
      <w:numPr>
        <w:ilvl w:val="0"/>
        <w:numId w:val="1"/>
      </w:numPr>
      <w:spacing w:before="120" w:after="120"/>
      <w:jc w:val="left"/>
    </w:pPr>
    <w:rPr>
      <w:rFonts w:ascii="Verdana" w:hAnsi="Verdana" w:eastAsia="方正大黑简体"/>
      <w:b/>
      <w:kern w:val="0"/>
      <w:sz w:val="36"/>
      <w:szCs w:val="20"/>
      <w:lang w:eastAsia="en-US"/>
    </w:rPr>
  </w:style>
  <w:style w:type="paragraph" w:customStyle="1" w:styleId="56">
    <w:name w:val="样式"/>
    <w:uiPriority w:val="0"/>
    <w:pPr>
      <w:widowControl w:val="0"/>
      <w:autoSpaceDE w:val="0"/>
      <w:autoSpaceDN w:val="0"/>
      <w:adjustRightInd w:val="0"/>
    </w:pPr>
    <w:rPr>
      <w:rFonts w:ascii="宋体" w:hAnsi="宋体" w:cs="宋体"/>
      <w:sz w:val="24"/>
      <w:szCs w:val="24"/>
      <w:lang w:val="en-US" w:eastAsia="zh-CN" w:bidi="ar-SA"/>
    </w:rPr>
  </w:style>
  <w:style w:type="paragraph" w:customStyle="1" w:styleId="57">
    <w:name w:val="Char"/>
    <w:basedOn w:val="1"/>
    <w:uiPriority w:val="0"/>
    <w:rPr>
      <w:rFonts w:ascii="宋体" w:hAnsi="宋体" w:eastAsia="宋体" w:cs="Courier New"/>
      <w:szCs w:val="32"/>
    </w:rPr>
  </w:style>
  <w:style w:type="paragraph" w:customStyle="1" w:styleId="58">
    <w:name w:val=" Char1"/>
    <w:basedOn w:val="1"/>
    <w:uiPriority w:val="0"/>
    <w:pPr>
      <w:widowControl/>
      <w:spacing w:after="160" w:line="240" w:lineRule="exact"/>
      <w:jc w:val="left"/>
    </w:pPr>
    <w:rPr>
      <w:rFonts w:ascii="Verdana" w:hAnsi="Verdana"/>
      <w:kern w:val="0"/>
      <w:sz w:val="20"/>
      <w:szCs w:val="20"/>
      <w:lang w:eastAsia="en-US"/>
    </w:rPr>
  </w:style>
  <w:style w:type="character" w:customStyle="1" w:styleId="59">
    <w:name w:val="apple-converted-space"/>
    <w:basedOn w:val="23"/>
    <w:uiPriority w:val="0"/>
  </w:style>
  <w:style w:type="paragraph" w:customStyle="1" w:styleId="60">
    <w:name w:val="样式 标题 1 +"/>
    <w:basedOn w:val="2"/>
    <w:uiPriority w:val="0"/>
    <w:pPr>
      <w:spacing w:line="578" w:lineRule="auto"/>
    </w:pPr>
    <w:rPr>
      <w:bCs/>
      <w:kern w:val="2"/>
      <w:szCs w:val="44"/>
    </w:rPr>
  </w:style>
  <w:style w:type="character" w:customStyle="1" w:styleId="61">
    <w:name w:val="Footer Char"/>
    <w:locked/>
    <w:uiPriority w:val="0"/>
    <w:rPr>
      <w:rFonts w:eastAsia="仿宋_GB2312"/>
      <w:sz w:val="18"/>
    </w:rPr>
  </w:style>
  <w:style w:type="paragraph" w:customStyle="1" w:styleId="62">
    <w:name w:val="contentarticle"/>
    <w:basedOn w:val="1"/>
    <w:uiPriority w:val="0"/>
    <w:pPr>
      <w:widowControl/>
      <w:spacing w:before="100" w:beforeAutospacing="1" w:after="100" w:afterAutospacing="1"/>
      <w:jc w:val="left"/>
    </w:pPr>
    <w:rPr>
      <w:rFonts w:ascii="仿宋_GB2312" w:hAnsi="宋体" w:cs="宋体"/>
      <w:kern w:val="0"/>
      <w:szCs w:val="32"/>
    </w:rPr>
  </w:style>
  <w:style w:type="paragraph" w:customStyle="1" w:styleId="63">
    <w:name w:val="列出段落"/>
    <w:basedOn w:val="1"/>
    <w:qFormat/>
    <w:uiPriority w:val="0"/>
    <w:pPr>
      <w:ind w:firstLine="420" w:firstLineChars="200"/>
    </w:pPr>
    <w:rPr>
      <w:rFonts w:ascii="Calibri" w:hAnsi="Calibri" w:eastAsia="宋体"/>
      <w:sz w:val="21"/>
      <w:szCs w:val="22"/>
    </w:rPr>
  </w:style>
  <w:style w:type="character" w:customStyle="1" w:styleId="64">
    <w:name w:val="apple-style-span"/>
    <w:basedOn w:val="23"/>
    <w:uiPriority w:val="0"/>
  </w:style>
  <w:style w:type="paragraph" w:customStyle="1" w:styleId="65">
    <w:name w:val="p15"/>
    <w:basedOn w:val="1"/>
    <w:uiPriority w:val="0"/>
    <w:pPr>
      <w:widowControl/>
      <w:jc w:val="left"/>
    </w:pPr>
    <w:rPr>
      <w:rFonts w:ascii="Calibri" w:hAnsi="Calibri" w:eastAsia="宋体" w:cs="宋体"/>
      <w:kern w:val="0"/>
      <w:sz w:val="24"/>
    </w:rPr>
  </w:style>
  <w:style w:type="paragraph" w:customStyle="1" w:styleId="66">
    <w:name w:val="List Paragraph"/>
    <w:basedOn w:val="1"/>
    <w:uiPriority w:val="0"/>
    <w:pPr>
      <w:ind w:firstLine="420" w:firstLineChars="200"/>
    </w:pPr>
    <w:rPr>
      <w:rFonts w:ascii="Calibri" w:hAnsi="Calibri" w:eastAsia="宋体"/>
      <w:sz w:val="21"/>
      <w:szCs w:val="22"/>
    </w:rPr>
  </w:style>
  <w:style w:type="paragraph" w:customStyle="1" w:styleId="67">
    <w:name w:val="font5"/>
    <w:basedOn w:val="1"/>
    <w:uiPriority w:val="0"/>
    <w:pPr>
      <w:widowControl/>
      <w:spacing w:before="100" w:beforeAutospacing="1" w:after="100" w:afterAutospacing="1"/>
      <w:jc w:val="left"/>
    </w:pPr>
    <w:rPr>
      <w:rFonts w:ascii="宋体" w:hAnsi="宋体" w:eastAsia="宋体" w:cs="宋体"/>
      <w:color w:val="000000"/>
      <w:kern w:val="0"/>
      <w:sz w:val="24"/>
    </w:rPr>
  </w:style>
  <w:style w:type="paragraph" w:customStyle="1" w:styleId="68">
    <w:name w:val="font6"/>
    <w:basedOn w:val="1"/>
    <w:uiPriority w:val="0"/>
    <w:pPr>
      <w:widowControl/>
      <w:spacing w:before="100" w:beforeAutospacing="1" w:after="100" w:afterAutospacing="1"/>
      <w:jc w:val="left"/>
    </w:pPr>
    <w:rPr>
      <w:rFonts w:ascii="宋体" w:hAnsi="宋体" w:eastAsia="宋体" w:cs="宋体"/>
      <w:color w:val="000000"/>
      <w:kern w:val="0"/>
      <w:sz w:val="28"/>
      <w:szCs w:val="28"/>
    </w:rPr>
  </w:style>
  <w:style w:type="paragraph" w:customStyle="1" w:styleId="69">
    <w:name w:val="font7"/>
    <w:basedOn w:val="1"/>
    <w:uiPriority w:val="0"/>
    <w:pPr>
      <w:widowControl/>
      <w:spacing w:before="100" w:beforeAutospacing="1" w:after="100" w:afterAutospacing="1"/>
      <w:jc w:val="left"/>
    </w:pPr>
    <w:rPr>
      <w:rFonts w:ascii="宋体" w:hAnsi="宋体" w:eastAsia="宋体" w:cs="宋体"/>
      <w:color w:val="000000"/>
      <w:kern w:val="0"/>
      <w:sz w:val="22"/>
      <w:szCs w:val="22"/>
    </w:rPr>
  </w:style>
  <w:style w:type="paragraph" w:customStyle="1" w:styleId="70">
    <w:name w:val="font8"/>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71">
    <w:name w:val="font9"/>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72">
    <w:name w:val="font10"/>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73">
    <w:name w:val="font11"/>
    <w:basedOn w:val="1"/>
    <w:uiPriority w:val="0"/>
    <w:pPr>
      <w:widowControl/>
      <w:spacing w:before="100" w:beforeAutospacing="1" w:after="100" w:afterAutospacing="1"/>
      <w:jc w:val="left"/>
    </w:pPr>
    <w:rPr>
      <w:rFonts w:ascii="宋体" w:hAnsi="宋体" w:eastAsia="宋体" w:cs="宋体"/>
      <w:kern w:val="0"/>
      <w:sz w:val="22"/>
      <w:szCs w:val="22"/>
    </w:rPr>
  </w:style>
  <w:style w:type="paragraph" w:customStyle="1" w:styleId="74">
    <w:name w:val="font12"/>
    <w:basedOn w:val="1"/>
    <w:uiPriority w:val="0"/>
    <w:pPr>
      <w:widowControl/>
      <w:spacing w:before="100" w:beforeAutospacing="1" w:after="100" w:afterAutospacing="1"/>
      <w:jc w:val="left"/>
    </w:pPr>
    <w:rPr>
      <w:rFonts w:ascii="宋体" w:hAnsi="宋体" w:eastAsia="宋体" w:cs="宋体"/>
      <w:color w:val="333333"/>
      <w:kern w:val="0"/>
      <w:sz w:val="22"/>
      <w:szCs w:val="22"/>
    </w:rPr>
  </w:style>
  <w:style w:type="paragraph" w:customStyle="1" w:styleId="75">
    <w:name w:val="font13"/>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76">
    <w:name w:val="font14"/>
    <w:basedOn w:val="1"/>
    <w:uiPriority w:val="0"/>
    <w:pPr>
      <w:widowControl/>
      <w:spacing w:before="100" w:beforeAutospacing="1" w:after="100" w:afterAutospacing="1"/>
      <w:jc w:val="left"/>
    </w:pPr>
    <w:rPr>
      <w:rFonts w:ascii="宋体" w:hAnsi="宋体" w:eastAsia="宋体" w:cs="宋体"/>
      <w:color w:val="333333"/>
      <w:kern w:val="0"/>
      <w:sz w:val="22"/>
      <w:szCs w:val="22"/>
    </w:rPr>
  </w:style>
  <w:style w:type="paragraph" w:customStyle="1" w:styleId="77">
    <w:name w:val="font15"/>
    <w:basedOn w:val="1"/>
    <w:uiPriority w:val="0"/>
    <w:pPr>
      <w:widowControl/>
      <w:spacing w:before="100" w:beforeAutospacing="1" w:after="100" w:afterAutospacing="1"/>
      <w:jc w:val="left"/>
    </w:pPr>
    <w:rPr>
      <w:rFonts w:ascii="宋体" w:hAnsi="宋体" w:eastAsia="宋体" w:cs="宋体"/>
      <w:color w:val="333333"/>
      <w:kern w:val="0"/>
      <w:sz w:val="22"/>
      <w:szCs w:val="22"/>
    </w:rPr>
  </w:style>
  <w:style w:type="paragraph" w:customStyle="1" w:styleId="78">
    <w:name w:val="font16"/>
    <w:basedOn w:val="1"/>
    <w:uiPriority w:val="0"/>
    <w:pPr>
      <w:widowControl/>
      <w:spacing w:before="100" w:beforeAutospacing="1" w:after="100" w:afterAutospacing="1"/>
      <w:jc w:val="left"/>
    </w:pPr>
    <w:rPr>
      <w:rFonts w:ascii="Arial" w:hAnsi="Arial" w:eastAsia="宋体" w:cs="Arial"/>
      <w:kern w:val="0"/>
      <w:sz w:val="22"/>
      <w:szCs w:val="22"/>
    </w:rPr>
  </w:style>
  <w:style w:type="paragraph" w:customStyle="1" w:styleId="79">
    <w:name w:val="font17"/>
    <w:basedOn w:val="1"/>
    <w:uiPriority w:val="0"/>
    <w:pPr>
      <w:widowControl/>
      <w:spacing w:before="100" w:beforeAutospacing="1" w:after="100" w:afterAutospacing="1"/>
      <w:jc w:val="left"/>
    </w:pPr>
    <w:rPr>
      <w:rFonts w:eastAsia="宋体"/>
      <w:kern w:val="0"/>
      <w:sz w:val="22"/>
      <w:szCs w:val="22"/>
    </w:rPr>
  </w:style>
  <w:style w:type="paragraph" w:customStyle="1" w:styleId="80">
    <w:name w:val="font18"/>
    <w:basedOn w:val="1"/>
    <w:uiPriority w:val="0"/>
    <w:pPr>
      <w:widowControl/>
      <w:spacing w:before="100" w:beforeAutospacing="1" w:after="100" w:afterAutospacing="1"/>
      <w:jc w:val="left"/>
    </w:pPr>
    <w:rPr>
      <w:rFonts w:ascii="宋体" w:hAnsi="宋体" w:eastAsia="宋体" w:cs="宋体"/>
      <w:kern w:val="0"/>
      <w:sz w:val="22"/>
      <w:szCs w:val="22"/>
    </w:rPr>
  </w:style>
  <w:style w:type="paragraph" w:customStyle="1" w:styleId="81">
    <w:name w:val="font19"/>
    <w:basedOn w:val="1"/>
    <w:uiPriority w:val="0"/>
    <w:pPr>
      <w:widowControl/>
      <w:spacing w:before="100" w:beforeAutospacing="1" w:after="100" w:afterAutospacing="1"/>
      <w:jc w:val="left"/>
    </w:pPr>
    <w:rPr>
      <w:rFonts w:eastAsia="宋体"/>
      <w:color w:val="000000"/>
      <w:kern w:val="0"/>
      <w:sz w:val="22"/>
      <w:szCs w:val="22"/>
    </w:rPr>
  </w:style>
  <w:style w:type="paragraph" w:customStyle="1" w:styleId="82">
    <w:name w:val="font20"/>
    <w:basedOn w:val="1"/>
    <w:uiPriority w:val="0"/>
    <w:pPr>
      <w:widowControl/>
      <w:spacing w:before="100" w:beforeAutospacing="1" w:after="100" w:afterAutospacing="1"/>
      <w:jc w:val="left"/>
    </w:pPr>
    <w:rPr>
      <w:rFonts w:eastAsia="宋体"/>
      <w:color w:val="000000"/>
      <w:kern w:val="0"/>
      <w:sz w:val="22"/>
      <w:szCs w:val="22"/>
    </w:rPr>
  </w:style>
  <w:style w:type="paragraph" w:customStyle="1" w:styleId="83">
    <w:name w:val="font21"/>
    <w:basedOn w:val="1"/>
    <w:uiPriority w:val="0"/>
    <w:pPr>
      <w:widowControl/>
      <w:spacing w:before="100" w:beforeAutospacing="1" w:after="100" w:afterAutospacing="1"/>
      <w:jc w:val="left"/>
    </w:pPr>
    <w:rPr>
      <w:rFonts w:ascii="宋体" w:hAnsi="宋体" w:eastAsia="宋体" w:cs="宋体"/>
      <w:color w:val="000000"/>
      <w:kern w:val="0"/>
      <w:sz w:val="22"/>
      <w:szCs w:val="22"/>
    </w:rPr>
  </w:style>
  <w:style w:type="paragraph" w:customStyle="1" w:styleId="84">
    <w:name w:val="font22"/>
    <w:basedOn w:val="1"/>
    <w:uiPriority w:val="0"/>
    <w:pPr>
      <w:widowControl/>
      <w:spacing w:before="100" w:beforeAutospacing="1" w:after="100" w:afterAutospacing="1"/>
      <w:jc w:val="left"/>
    </w:pPr>
    <w:rPr>
      <w:rFonts w:eastAsia="宋体"/>
      <w:color w:val="333333"/>
      <w:kern w:val="0"/>
      <w:sz w:val="22"/>
      <w:szCs w:val="22"/>
    </w:rPr>
  </w:style>
  <w:style w:type="paragraph" w:customStyle="1" w:styleId="85">
    <w:name w:val="font23"/>
    <w:basedOn w:val="1"/>
    <w:uiPriority w:val="0"/>
    <w:pPr>
      <w:widowControl/>
      <w:spacing w:before="100" w:beforeAutospacing="1" w:after="100" w:afterAutospacing="1"/>
      <w:jc w:val="left"/>
    </w:pPr>
    <w:rPr>
      <w:rFonts w:ascii="宋体" w:hAnsi="宋体" w:eastAsia="宋体" w:cs="宋体"/>
      <w:color w:val="000000"/>
      <w:kern w:val="0"/>
      <w:sz w:val="22"/>
      <w:szCs w:val="22"/>
    </w:rPr>
  </w:style>
  <w:style w:type="paragraph" w:customStyle="1" w:styleId="86">
    <w:name w:val="font24"/>
    <w:basedOn w:val="1"/>
    <w:uiPriority w:val="0"/>
    <w:pPr>
      <w:widowControl/>
      <w:spacing w:before="100" w:beforeAutospacing="1" w:after="100" w:afterAutospacing="1"/>
      <w:jc w:val="left"/>
    </w:pPr>
    <w:rPr>
      <w:rFonts w:eastAsia="宋体"/>
      <w:color w:val="333333"/>
      <w:kern w:val="0"/>
      <w:sz w:val="22"/>
      <w:szCs w:val="22"/>
    </w:rPr>
  </w:style>
  <w:style w:type="paragraph" w:customStyle="1" w:styleId="87">
    <w:name w:val="font25"/>
    <w:basedOn w:val="1"/>
    <w:uiPriority w:val="0"/>
    <w:pPr>
      <w:widowControl/>
      <w:spacing w:before="100" w:beforeAutospacing="1" w:after="100" w:afterAutospacing="1"/>
      <w:jc w:val="left"/>
    </w:pPr>
    <w:rPr>
      <w:rFonts w:ascii="宋体" w:hAnsi="宋体" w:eastAsia="宋体" w:cs="宋体"/>
      <w:color w:val="000000"/>
      <w:kern w:val="0"/>
      <w:sz w:val="22"/>
      <w:szCs w:val="22"/>
    </w:rPr>
  </w:style>
  <w:style w:type="paragraph" w:customStyle="1" w:styleId="88">
    <w:name w:val="xl23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89">
    <w:name w:val="xl23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kern w:val="0"/>
      <w:sz w:val="24"/>
    </w:rPr>
  </w:style>
  <w:style w:type="paragraph" w:customStyle="1" w:styleId="90">
    <w:name w:val="xl23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91">
    <w:name w:val="xl23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kern w:val="0"/>
      <w:sz w:val="24"/>
    </w:rPr>
  </w:style>
  <w:style w:type="paragraph" w:customStyle="1" w:styleId="92">
    <w:name w:val="xl24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93">
    <w:name w:val="xl24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94">
    <w:name w:val="xl24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kern w:val="0"/>
      <w:sz w:val="28"/>
      <w:szCs w:val="28"/>
    </w:rPr>
  </w:style>
  <w:style w:type="paragraph" w:customStyle="1" w:styleId="95">
    <w:name w:val="xl24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kern w:val="0"/>
      <w:sz w:val="24"/>
    </w:rPr>
  </w:style>
  <w:style w:type="paragraph" w:customStyle="1" w:styleId="96">
    <w:name w:val="xl24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97">
    <w:name w:val="xl24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kern w:val="0"/>
      <w:sz w:val="24"/>
    </w:rPr>
  </w:style>
  <w:style w:type="paragraph" w:customStyle="1" w:styleId="98">
    <w:name w:val="xl246"/>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eastAsia="宋体"/>
      <w:kern w:val="0"/>
      <w:sz w:val="24"/>
    </w:rPr>
  </w:style>
  <w:style w:type="paragraph" w:customStyle="1" w:styleId="99">
    <w:name w:val="xl247"/>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eastAsia="宋体"/>
      <w:kern w:val="0"/>
      <w:sz w:val="24"/>
    </w:rPr>
  </w:style>
  <w:style w:type="paragraph" w:customStyle="1" w:styleId="100">
    <w:name w:val="xl24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01">
    <w:name w:val="xl24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eastAsia="宋体"/>
      <w:kern w:val="0"/>
      <w:sz w:val="24"/>
    </w:rPr>
  </w:style>
  <w:style w:type="paragraph" w:customStyle="1" w:styleId="102">
    <w:name w:val="xl25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kern w:val="0"/>
      <w:sz w:val="24"/>
    </w:rPr>
  </w:style>
  <w:style w:type="paragraph" w:customStyle="1" w:styleId="103">
    <w:name w:val="xl25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04">
    <w:name w:val="xl25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05">
    <w:name w:val="xl25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kern w:val="0"/>
      <w:sz w:val="24"/>
    </w:rPr>
  </w:style>
  <w:style w:type="paragraph" w:customStyle="1" w:styleId="106">
    <w:name w:val="xl25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07">
    <w:name w:val="xl25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08">
    <w:name w:val="xl25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09">
    <w:name w:val="xl25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10">
    <w:name w:val="xl25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color w:val="FF0000"/>
      <w:kern w:val="0"/>
      <w:sz w:val="24"/>
    </w:rPr>
  </w:style>
  <w:style w:type="paragraph" w:customStyle="1" w:styleId="111">
    <w:name w:val="xl25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12">
    <w:name w:val="xl26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color w:val="333333"/>
      <w:kern w:val="0"/>
      <w:sz w:val="24"/>
    </w:rPr>
  </w:style>
  <w:style w:type="paragraph" w:customStyle="1" w:styleId="113">
    <w:name w:val="xl26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14">
    <w:name w:val="xl262"/>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eastAsia="宋体"/>
      <w:kern w:val="0"/>
      <w:sz w:val="24"/>
    </w:rPr>
  </w:style>
  <w:style w:type="paragraph" w:customStyle="1" w:styleId="115">
    <w:name w:val="xl26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eastAsia="宋体"/>
      <w:kern w:val="0"/>
      <w:sz w:val="24"/>
    </w:rPr>
  </w:style>
  <w:style w:type="paragraph" w:customStyle="1" w:styleId="116">
    <w:name w:val="xl264"/>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eastAsia="宋体"/>
      <w:kern w:val="0"/>
      <w:sz w:val="24"/>
    </w:rPr>
  </w:style>
  <w:style w:type="paragraph" w:customStyle="1" w:styleId="117">
    <w:name w:val="xl265"/>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eastAsia="宋体"/>
      <w:kern w:val="0"/>
      <w:sz w:val="24"/>
    </w:rPr>
  </w:style>
  <w:style w:type="paragraph" w:customStyle="1" w:styleId="118">
    <w:name w:val="xl266"/>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eastAsia="宋体"/>
      <w:kern w:val="0"/>
      <w:sz w:val="24"/>
    </w:rPr>
  </w:style>
  <w:style w:type="paragraph" w:customStyle="1" w:styleId="119">
    <w:name w:val="xl267"/>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eastAsia="宋体"/>
      <w:color w:val="333333"/>
      <w:kern w:val="0"/>
      <w:sz w:val="24"/>
    </w:rPr>
  </w:style>
  <w:style w:type="paragraph" w:customStyle="1" w:styleId="120">
    <w:name w:val="xl2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21">
    <w:name w:val="xl2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color w:val="333333"/>
      <w:kern w:val="0"/>
      <w:sz w:val="24"/>
    </w:rPr>
  </w:style>
  <w:style w:type="paragraph" w:customStyle="1" w:styleId="122">
    <w:name w:val="xl27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23">
    <w:name w:val="xl2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24">
    <w:name w:val="xl2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宋体"/>
      <w:kern w:val="0"/>
      <w:sz w:val="24"/>
    </w:rPr>
  </w:style>
  <w:style w:type="paragraph" w:customStyle="1" w:styleId="125">
    <w:name w:val="xl27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26">
    <w:name w:val="xl274"/>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eastAsia="宋体"/>
      <w:kern w:val="0"/>
      <w:sz w:val="24"/>
    </w:rPr>
  </w:style>
  <w:style w:type="paragraph" w:customStyle="1" w:styleId="127">
    <w:name w:val="xl27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28">
    <w:name w:val="xl2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29">
    <w:name w:val="xl2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30">
    <w:name w:val="xl2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宋体"/>
      <w:kern w:val="0"/>
      <w:sz w:val="24"/>
    </w:rPr>
  </w:style>
  <w:style w:type="paragraph" w:customStyle="1" w:styleId="131">
    <w:name w:val="xl27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132">
    <w:name w:val="xl280"/>
    <w:basedOn w:val="1"/>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4"/>
    </w:rPr>
  </w:style>
  <w:style w:type="paragraph" w:customStyle="1" w:styleId="133">
    <w:name w:val="xl28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134">
    <w:name w:val="xl28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135">
    <w:name w:val="xl28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136">
    <w:name w:val="xl28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137">
    <w:name w:val="xl285"/>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4"/>
    </w:rPr>
  </w:style>
  <w:style w:type="paragraph" w:customStyle="1" w:styleId="138">
    <w:name w:val="xl286"/>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eastAsia="宋体"/>
      <w:kern w:val="0"/>
      <w:sz w:val="28"/>
      <w:szCs w:val="28"/>
    </w:rPr>
  </w:style>
  <w:style w:type="paragraph" w:customStyle="1" w:styleId="139">
    <w:name w:val="xl287"/>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eastAsia="宋体"/>
      <w:kern w:val="0"/>
      <w:sz w:val="28"/>
      <w:szCs w:val="28"/>
    </w:rPr>
  </w:style>
  <w:style w:type="paragraph" w:customStyle="1" w:styleId="140">
    <w:name w:val="xl288"/>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宋体"/>
      <w:kern w:val="0"/>
      <w:sz w:val="28"/>
      <w:szCs w:val="28"/>
    </w:rPr>
  </w:style>
  <w:style w:type="paragraph" w:customStyle="1" w:styleId="141">
    <w:name w:val="xl289"/>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宋体"/>
      <w:kern w:val="0"/>
      <w:sz w:val="28"/>
      <w:szCs w:val="28"/>
    </w:rPr>
  </w:style>
  <w:style w:type="paragraph" w:customStyle="1" w:styleId="142">
    <w:name w:val="xl290"/>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宋体"/>
      <w:kern w:val="0"/>
      <w:sz w:val="24"/>
    </w:rPr>
  </w:style>
  <w:style w:type="paragraph" w:customStyle="1" w:styleId="143">
    <w:name w:val="xl291"/>
    <w:basedOn w:val="1"/>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144">
    <w:name w:val="xl292"/>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145">
    <w:name w:val="xl293"/>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宋体"/>
      <w:kern w:val="0"/>
      <w:sz w:val="24"/>
    </w:rPr>
  </w:style>
  <w:style w:type="character" w:customStyle="1" w:styleId="146">
    <w:name w:val="font51"/>
    <w:basedOn w:val="23"/>
    <w:qFormat/>
    <w:uiPriority w:val="0"/>
    <w:rPr>
      <w:rFonts w:hint="default" w:ascii="Times New Roman" w:hAnsi="Times New Roman" w:cs="Times New Roman"/>
      <w:color w:val="000000"/>
      <w:sz w:val="20"/>
      <w:szCs w:val="20"/>
      <w:u w:val="none"/>
    </w:rPr>
  </w:style>
  <w:style w:type="character" w:customStyle="1" w:styleId="147">
    <w:name w:val="Body text (2) + Times New Roman"/>
    <w:basedOn w:val="148"/>
    <w:uiPriority w:val="0"/>
    <w:rPr>
      <w:rFonts w:ascii="Times New Roman" w:hAnsi="Times New Roman" w:eastAsia="Times New Roman" w:cs="Times New Roman"/>
      <w:b/>
      <w:bCs/>
      <w:color w:val="000000"/>
      <w:spacing w:val="0"/>
      <w:w w:val="100"/>
      <w:position w:val="0"/>
      <w:lang w:val="en-US" w:eastAsia="en-US" w:bidi="en-US"/>
    </w:rPr>
  </w:style>
  <w:style w:type="character" w:customStyle="1" w:styleId="148">
    <w:name w:val="Body text (2)_"/>
    <w:basedOn w:val="23"/>
    <w:link w:val="149"/>
    <w:uiPriority w:val="0"/>
    <w:rPr>
      <w:rFonts w:ascii="PMingLiU" w:hAnsi="PMingLiU" w:eastAsia="PMingLiU"/>
      <w:spacing w:val="30"/>
      <w:sz w:val="30"/>
      <w:szCs w:val="30"/>
      <w:lang w:bidi="ar-SA"/>
    </w:rPr>
  </w:style>
  <w:style w:type="paragraph" w:customStyle="1" w:styleId="149">
    <w:name w:val="Body text (2)"/>
    <w:basedOn w:val="1"/>
    <w:link w:val="148"/>
    <w:uiPriority w:val="0"/>
    <w:pPr>
      <w:shd w:val="clear" w:color="auto" w:fill="FFFFFF"/>
      <w:spacing w:after="900" w:line="0" w:lineRule="atLeast"/>
      <w:jc w:val="distribute"/>
    </w:pPr>
    <w:rPr>
      <w:rFonts w:ascii="PMingLiU" w:hAnsi="PMingLiU" w:eastAsia="PMingLiU"/>
      <w:spacing w:val="30"/>
      <w:kern w:val="0"/>
      <w:sz w:val="30"/>
      <w:szCs w:val="30"/>
      <w:lang/>
    </w:rPr>
  </w:style>
  <w:style w:type="paragraph" w:customStyle="1" w:styleId="150">
    <w:name w:val="Body text (5)"/>
    <w:basedOn w:val="1"/>
    <w:uiPriority w:val="0"/>
    <w:pPr>
      <w:shd w:val="clear" w:color="auto" w:fill="FFFFFF"/>
      <w:spacing w:line="605" w:lineRule="exact"/>
      <w:jc w:val="distribute"/>
    </w:pPr>
    <w:rPr>
      <w:rFonts w:ascii="PMingLiU" w:hAnsi="PMingLiU" w:eastAsia="PMingLiU" w:cs="PMingLiU"/>
      <w:b/>
      <w:bCs/>
      <w:sz w:val="30"/>
      <w:szCs w:val="30"/>
    </w:rPr>
  </w:style>
  <w:style w:type="character" w:customStyle="1" w:styleId="151">
    <w:name w:val="font71"/>
    <w:basedOn w:val="23"/>
    <w:uiPriority w:val="0"/>
    <w:rPr>
      <w:rFonts w:hint="default" w:ascii="Times New Roman" w:hAnsi="Times New Roman" w:cs="Times New Roman"/>
      <w:color w:val="000000"/>
      <w:sz w:val="24"/>
      <w:szCs w:val="24"/>
      <w:u w:val="none"/>
    </w:rPr>
  </w:style>
  <w:style w:type="character" w:customStyle="1" w:styleId="152">
    <w:name w:val="font112"/>
    <w:basedOn w:val="23"/>
    <w:uiPriority w:val="0"/>
    <w:rPr>
      <w:rFonts w:ascii="新宋体" w:hAnsi="新宋体" w:eastAsia="新宋体" w:cs="新宋体"/>
      <w:color w:val="000000"/>
      <w:sz w:val="24"/>
      <w:szCs w:val="24"/>
      <w:u w:val="none"/>
    </w:rPr>
  </w:style>
  <w:style w:type="character" w:customStyle="1" w:styleId="153">
    <w:name w:val="font41"/>
    <w:basedOn w:val="23"/>
    <w:uiPriority w:val="0"/>
    <w:rPr>
      <w:rFonts w:ascii="方正小标宋简体" w:hAnsi="方正小标宋简体" w:eastAsia="方正小标宋简体" w:cs="方正小标宋简体"/>
      <w:color w:val="000000"/>
      <w:sz w:val="48"/>
      <w:szCs w:val="48"/>
      <w:u w:val="none"/>
    </w:rPr>
  </w:style>
  <w:style w:type="character" w:customStyle="1" w:styleId="154">
    <w:name w:val="font31"/>
    <w:basedOn w:val="23"/>
    <w:uiPriority w:val="0"/>
    <w:rPr>
      <w:rFonts w:ascii="黑体" w:hAnsi="宋体" w:eastAsia="黑体" w:cs="黑体"/>
      <w:color w:val="000000"/>
      <w:sz w:val="24"/>
      <w:szCs w:val="24"/>
      <w:u w:val="none"/>
    </w:rPr>
  </w:style>
  <w:style w:type="character" w:customStyle="1" w:styleId="155">
    <w:name w:val="font101"/>
    <w:basedOn w:val="23"/>
    <w:uiPriority w:val="0"/>
    <w:rPr>
      <w:rFonts w:hint="default" w:ascii="Times New Roman" w:hAnsi="Times New Roman" w:cs="Times New Roman"/>
      <w:color w:val="000000"/>
      <w:sz w:val="48"/>
      <w:szCs w:val="48"/>
      <w:u w:val="none"/>
    </w:rPr>
  </w:style>
  <w:style w:type="character" w:customStyle="1" w:styleId="156">
    <w:name w:val="Body text (6) + 15 pt"/>
    <w:basedOn w:val="157"/>
    <w:qFormat/>
    <w:uiPriority w:val="0"/>
    <w:rPr>
      <w:color w:val="000000"/>
      <w:spacing w:val="30"/>
      <w:w w:val="100"/>
      <w:position w:val="0"/>
      <w:sz w:val="30"/>
      <w:szCs w:val="30"/>
      <w:lang w:val="zh-CN" w:eastAsia="zh-CN" w:bidi="zh-CN"/>
    </w:rPr>
  </w:style>
  <w:style w:type="character" w:customStyle="1" w:styleId="157">
    <w:name w:val="Body text (6)_"/>
    <w:basedOn w:val="23"/>
    <w:link w:val="158"/>
    <w:qFormat/>
    <w:uiPriority w:val="0"/>
    <w:rPr>
      <w:rFonts w:ascii="PMingLiU" w:hAnsi="PMingLiU" w:eastAsia="PMingLiU"/>
      <w:b/>
      <w:bCs/>
      <w:sz w:val="32"/>
      <w:szCs w:val="32"/>
      <w:lang w:bidi="ar-SA"/>
    </w:rPr>
  </w:style>
  <w:style w:type="paragraph" w:customStyle="1" w:styleId="158">
    <w:name w:val="Body text (6)"/>
    <w:basedOn w:val="1"/>
    <w:link w:val="157"/>
    <w:qFormat/>
    <w:uiPriority w:val="0"/>
    <w:pPr>
      <w:shd w:val="clear" w:color="auto" w:fill="FFFFFF"/>
      <w:spacing w:line="610" w:lineRule="exact"/>
      <w:ind w:hanging="180"/>
    </w:pPr>
    <w:rPr>
      <w:rFonts w:ascii="PMingLiU" w:hAnsi="PMingLiU" w:eastAsia="PMingLiU"/>
      <w:b/>
      <w:bCs/>
      <w:kern w:val="0"/>
      <w:szCs w:val="32"/>
      <w:lang/>
    </w:rPr>
  </w:style>
  <w:style w:type="character" w:customStyle="1" w:styleId="159">
    <w:name w:val="Body text (2) + Spacing 0 pt"/>
    <w:basedOn w:val="148"/>
    <w:qFormat/>
    <w:uiPriority w:val="0"/>
    <w:rPr>
      <w:rFonts w:cs="PMingLiU"/>
      <w:color w:val="000000"/>
      <w:spacing w:val="0"/>
      <w:w w:val="100"/>
      <w:position w:val="0"/>
      <w:lang w:val="zh-CN" w:eastAsia="zh-CN" w:bidi="zh-CN"/>
    </w:rPr>
  </w:style>
  <w:style w:type="character" w:customStyle="1" w:styleId="160">
    <w:name w:val="font61"/>
    <w:basedOn w:val="23"/>
    <w:uiPriority w:val="0"/>
    <w:rPr>
      <w:rFonts w:hint="default" w:ascii="Times New Roman" w:hAnsi="Times New Roman" w:cs="Times New Roman"/>
      <w:color w:val="000000"/>
      <w:sz w:val="24"/>
      <w:szCs w:val="24"/>
      <w:u w:val="none"/>
    </w:rPr>
  </w:style>
  <w:style w:type="character" w:customStyle="1" w:styleId="161">
    <w:name w:val="font01"/>
    <w:basedOn w:val="23"/>
    <w:uiPriority w:val="0"/>
    <w:rPr>
      <w:rFonts w:hint="eastAsia" w:ascii="新宋体" w:hAnsi="新宋体" w:eastAsia="新宋体" w:cs="新宋体"/>
      <w:color w:val="000000"/>
      <w:sz w:val="24"/>
      <w:szCs w:val="24"/>
      <w:u w:val="none"/>
    </w:rPr>
  </w:style>
  <w:style w:type="character" w:customStyle="1" w:styleId="162">
    <w:name w:val="Header or footer"/>
    <w:basedOn w:val="23"/>
    <w:uiPriority w:val="0"/>
    <w:rPr>
      <w:rFonts w:ascii="Times New Roman" w:hAnsi="Times New Roman" w:eastAsia="Times New Roman" w:cs="Times New Roman"/>
      <w:color w:val="000000"/>
      <w:spacing w:val="70"/>
      <w:w w:val="100"/>
      <w:position w:val="0"/>
      <w:sz w:val="24"/>
      <w:szCs w:val="24"/>
      <w:u w:val="none"/>
      <w:lang w:val="zh-CN" w:eastAsia="zh-CN" w:bidi="zh-CN"/>
    </w:rPr>
  </w:style>
  <w:style w:type="character" w:customStyle="1" w:styleId="163">
    <w:name w:val="font121"/>
    <w:basedOn w:val="23"/>
    <w:uiPriority w:val="0"/>
    <w:rPr>
      <w:rFonts w:hint="eastAsia" w:ascii="仿宋_GB2312" w:eastAsia="仿宋_GB2312" w:cs="仿宋_GB2312"/>
      <w:color w:val="000000"/>
      <w:sz w:val="24"/>
      <w:szCs w:val="24"/>
      <w:u w:val="none"/>
    </w:rPr>
  </w:style>
  <w:style w:type="character" w:customStyle="1" w:styleId="164">
    <w:name w:val="正文文本_"/>
    <w:basedOn w:val="23"/>
    <w:link w:val="165"/>
    <w:qFormat/>
    <w:locked/>
    <w:uiPriority w:val="0"/>
    <w:rPr>
      <w:rFonts w:ascii="仿宋" w:hAnsi="仿宋" w:eastAsia="仿宋"/>
      <w:sz w:val="30"/>
      <w:szCs w:val="30"/>
      <w:lang w:bidi="ar-SA"/>
    </w:rPr>
  </w:style>
  <w:style w:type="paragraph" w:customStyle="1" w:styleId="165">
    <w:name w:val="正文文本1"/>
    <w:basedOn w:val="1"/>
    <w:link w:val="164"/>
    <w:qFormat/>
    <w:uiPriority w:val="0"/>
    <w:pPr>
      <w:spacing w:line="418" w:lineRule="auto"/>
      <w:ind w:firstLine="400"/>
      <w:jc w:val="left"/>
    </w:pPr>
    <w:rPr>
      <w:rFonts w:ascii="仿宋" w:hAnsi="仿宋" w:eastAsia="仿宋"/>
      <w:kern w:val="0"/>
      <w:sz w:val="30"/>
      <w:szCs w:val="30"/>
      <w:lang/>
    </w:rPr>
  </w:style>
  <w:style w:type="character" w:customStyle="1" w:styleId="166">
    <w:name w:val="正文文本 (3)_"/>
    <w:basedOn w:val="23"/>
    <w:link w:val="167"/>
    <w:qFormat/>
    <w:locked/>
    <w:uiPriority w:val="0"/>
    <w:rPr>
      <w:rFonts w:ascii="微软雅黑" w:hAnsi="微软雅黑" w:eastAsia="微软雅黑"/>
      <w:sz w:val="28"/>
      <w:szCs w:val="28"/>
      <w:lang w:bidi="ar-SA"/>
    </w:rPr>
  </w:style>
  <w:style w:type="paragraph" w:customStyle="1" w:styleId="167">
    <w:name w:val="正文文本 (3)"/>
    <w:basedOn w:val="1"/>
    <w:link w:val="166"/>
    <w:qFormat/>
    <w:uiPriority w:val="0"/>
    <w:pPr>
      <w:spacing w:line="594" w:lineRule="exact"/>
      <w:ind w:firstLine="640"/>
      <w:jc w:val="left"/>
    </w:pPr>
    <w:rPr>
      <w:rFonts w:ascii="微软雅黑" w:hAnsi="微软雅黑" w:eastAsia="微软雅黑"/>
      <w:kern w:val="0"/>
      <w:sz w:val="28"/>
      <w:szCs w:val="28"/>
      <w:lang/>
    </w:rPr>
  </w:style>
  <w:style w:type="character" w:customStyle="1" w:styleId="168">
    <w:name w:val="正文文本 (4)_"/>
    <w:basedOn w:val="23"/>
    <w:link w:val="169"/>
    <w:qFormat/>
    <w:locked/>
    <w:uiPriority w:val="0"/>
    <w:rPr>
      <w:rFonts w:ascii="Cambria" w:hAnsi="Cambria"/>
      <w:sz w:val="24"/>
      <w:szCs w:val="24"/>
      <w:lang w:bidi="ar-SA"/>
    </w:rPr>
  </w:style>
  <w:style w:type="paragraph" w:customStyle="1" w:styleId="169">
    <w:name w:val="正文文本 (4)"/>
    <w:basedOn w:val="1"/>
    <w:link w:val="168"/>
    <w:qFormat/>
    <w:uiPriority w:val="0"/>
    <w:pPr>
      <w:jc w:val="left"/>
    </w:pPr>
    <w:rPr>
      <w:rFonts w:ascii="Cambria" w:hAnsi="Cambria" w:eastAsia="Times New Roman"/>
      <w:kern w:val="0"/>
      <w:sz w:val="24"/>
      <w:lang/>
    </w:rPr>
  </w:style>
  <w:style w:type="paragraph" w:customStyle="1" w:styleId="170">
    <w:name w:val="目录"/>
    <w:basedOn w:val="1"/>
    <w:qFormat/>
    <w:uiPriority w:val="0"/>
    <w:pPr>
      <w:spacing w:after="100" w:line="360" w:lineRule="auto"/>
      <w:ind w:firstLine="630"/>
      <w:jc w:val="left"/>
    </w:pPr>
    <w:rPr>
      <w:rFonts w:ascii="仿宋" w:hAnsi="仿宋" w:eastAsia="仿宋" w:cs="仿宋"/>
      <w:kern w:val="0"/>
      <w:sz w:val="30"/>
      <w:szCs w:val="30"/>
      <w:lang w:eastAsia="en-US"/>
    </w:rPr>
  </w:style>
  <w:style w:type="paragraph" w:customStyle="1" w:styleId="171">
    <w:name w:val="标题 #4"/>
    <w:basedOn w:val="1"/>
    <w:qFormat/>
    <w:uiPriority w:val="0"/>
    <w:pPr>
      <w:spacing w:after="600"/>
      <w:ind w:left="2820"/>
      <w:jc w:val="left"/>
      <w:outlineLvl w:val="3"/>
    </w:pPr>
    <w:rPr>
      <w:rFonts w:ascii="Courier New" w:hAnsi="Courier New" w:eastAsia="宋体" w:cs="Courier New"/>
      <w:kern w:val="0"/>
      <w:sz w:val="34"/>
      <w:szCs w:val="34"/>
      <w:lang w:eastAsia="en-US"/>
    </w:rPr>
  </w:style>
  <w:style w:type="paragraph" w:customStyle="1" w:styleId="172">
    <w:name w:val="标题 #3"/>
    <w:basedOn w:val="1"/>
    <w:qFormat/>
    <w:uiPriority w:val="0"/>
    <w:pPr>
      <w:spacing w:after="320" w:line="710" w:lineRule="exact"/>
      <w:jc w:val="center"/>
      <w:outlineLvl w:val="2"/>
    </w:pPr>
    <w:rPr>
      <w:rFonts w:ascii="宋体" w:hAnsi="宋体" w:eastAsia="宋体" w:cs="宋体"/>
      <w:kern w:val="0"/>
      <w:sz w:val="42"/>
      <w:szCs w:val="42"/>
      <w:lang w:eastAsia="en-US"/>
    </w:rPr>
  </w:style>
  <w:style w:type="character" w:customStyle="1" w:styleId="173">
    <w:name w:val="标题 3 Char"/>
    <w:uiPriority w:val="0"/>
    <w:rPr>
      <w:b/>
      <w:bCs/>
      <w:kern w:val="2"/>
      <w:sz w:val="32"/>
      <w:szCs w:val="32"/>
    </w:rPr>
  </w:style>
  <w:style w:type="paragraph" w:customStyle="1" w:styleId="174">
    <w:name w:val="Table Paragraph"/>
    <w:basedOn w:val="1"/>
    <w:qFormat/>
    <w:uiPriority w:val="0"/>
    <w:pPr>
      <w:jc w:val="left"/>
    </w:pPr>
    <w:rPr>
      <w:rFonts w:ascii="Calibri" w:hAnsi="Calibri" w:eastAsia="宋体"/>
      <w:kern w:val="0"/>
      <w:sz w:val="22"/>
      <w:szCs w:val="22"/>
      <w:lang w:eastAsia="en-US"/>
    </w:rPr>
  </w:style>
  <w:style w:type="character" w:customStyle="1" w:styleId="175">
    <w:name w:val="页脚 Char"/>
    <w:basedOn w:val="23"/>
    <w:semiHidden/>
    <w:qFormat/>
    <w:uiPriority w:val="0"/>
    <w:rPr>
      <w:kern w:val="2"/>
      <w:sz w:val="18"/>
      <w:szCs w:val="18"/>
    </w:rPr>
  </w:style>
  <w:style w:type="paragraph" w:customStyle="1" w:styleId="176">
    <w:name w:val="TOC1"/>
    <w:basedOn w:val="1"/>
    <w:next w:val="1"/>
    <w:qFormat/>
    <w:uiPriority w:val="0"/>
    <w:pPr>
      <w:textAlignment w:val="baseline"/>
    </w:pPr>
    <w:rPr>
      <w:rFonts w:ascii="Calibri" w:hAnsi="Calibri" w:eastAsia="宋体"/>
      <w:sz w:val="21"/>
    </w:rPr>
  </w:style>
  <w:style w:type="character" w:customStyle="1" w:styleId="177">
    <w:name w:val="NormalCharacter"/>
    <w:semiHidden/>
    <w:qFormat/>
    <w:uiPriority w:val="0"/>
    <w:rPr>
      <w:rFonts w:eastAsia="仿宋_GB2312"/>
      <w:kern w:val="2"/>
      <w:sz w:val="32"/>
      <w:szCs w:val="32"/>
      <w:lang w:val="en-US" w:eastAsia="zh-CN" w:bidi="ar-SA"/>
    </w:rPr>
  </w:style>
  <w:style w:type="character" w:customStyle="1" w:styleId="178">
    <w:name w:val="6.正文 Char"/>
    <w:link w:val="179"/>
    <w:locked/>
    <w:uiPriority w:val="0"/>
    <w:rPr>
      <w:rFonts w:ascii="Calibri Light" w:hAnsi="Calibri Light" w:eastAsia="宋体"/>
      <w:bCs/>
      <w:kern w:val="2"/>
      <w:sz w:val="24"/>
      <w:szCs w:val="24"/>
      <w:lang w:val="zh-CN" w:eastAsia="zh-CN" w:bidi="ar-SA"/>
    </w:rPr>
  </w:style>
  <w:style w:type="paragraph" w:customStyle="1" w:styleId="179">
    <w:name w:val="6.正文"/>
    <w:basedOn w:val="1"/>
    <w:link w:val="178"/>
    <w:uiPriority w:val="0"/>
    <w:pPr>
      <w:widowControl/>
      <w:adjustRightInd w:val="0"/>
      <w:snapToGrid w:val="0"/>
      <w:spacing w:line="360" w:lineRule="auto"/>
      <w:ind w:firstLine="200" w:firstLineChars="200"/>
      <w:jc w:val="left"/>
    </w:pPr>
    <w:rPr>
      <w:rFonts w:ascii="Calibri Light" w:hAnsi="Calibri Light" w:eastAsia="宋体"/>
      <w:bCs/>
      <w:sz w:val="24"/>
      <w:lang w:val="zh-CN"/>
    </w:rPr>
  </w:style>
  <w:style w:type="character" w:customStyle="1" w:styleId="180">
    <w:name w:val="font111"/>
    <w:basedOn w:val="23"/>
    <w:uiPriority w:val="0"/>
    <w:rPr>
      <w:rFonts w:hint="eastAsia" w:ascii="宋体" w:hAnsi="宋体" w:eastAsia="宋体" w:cs="宋体"/>
      <w:color w:val="000000"/>
      <w:sz w:val="24"/>
      <w:szCs w:val="24"/>
      <w:u w:val="none"/>
    </w:rPr>
  </w:style>
  <w:style w:type="character" w:customStyle="1" w:styleId="181">
    <w:name w:val="font81"/>
    <w:basedOn w:val="23"/>
    <w:uiPriority w:val="0"/>
    <w:rPr>
      <w:rFonts w:hint="eastAsia" w:ascii="宋体" w:hAnsi="宋体" w:eastAsia="宋体" w:cs="宋体"/>
      <w:color w:val="000000"/>
      <w:sz w:val="24"/>
      <w:szCs w:val="24"/>
      <w:u w:val="none"/>
    </w:rPr>
  </w:style>
  <w:style w:type="character" w:customStyle="1" w:styleId="182">
    <w:name w:val="font91"/>
    <w:basedOn w:val="23"/>
    <w:uiPriority w:val="0"/>
    <w:rPr>
      <w:rFonts w:hint="eastAsia" w:ascii="宋体" w:hAnsi="宋体" w:eastAsia="宋体" w:cs="宋体"/>
      <w:color w:val="000000"/>
      <w:sz w:val="24"/>
      <w:szCs w:val="24"/>
      <w:u w:val="none"/>
    </w:rPr>
  </w:style>
  <w:style w:type="paragraph" w:customStyle="1" w:styleId="183">
    <w:name w:val="WPSOffice手动目录 1"/>
    <w:uiPriority w:val="0"/>
    <w:rPr>
      <w:lang w:bidi="ar-SA"/>
    </w:rPr>
  </w:style>
  <w:style w:type="paragraph" w:customStyle="1" w:styleId="184">
    <w:name w:val="WPSOffice手动目录 2"/>
    <w:uiPriority w:val="0"/>
    <w:pPr>
      <w:ind w:leftChars="200"/>
    </w:pPr>
    <w:rPr>
      <w:lang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4"/>
    <customShpInfo spid="_x0000_s1132"/>
    <customShpInfo spid="_x0000_s1304"/>
    <customShpInfo spid="_x0000_s1307"/>
    <customShpInfo spid="_x0000_s1287"/>
    <customShpInfo spid="_x0000_s128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4912</Words>
  <Characters>5323</Characters>
  <Lines>40</Lines>
  <Paragraphs>11</Paragraphs>
  <TotalTime>0</TotalTime>
  <ScaleCrop>false</ScaleCrop>
  <LinksUpToDate>false</LinksUpToDate>
  <CharactersWithSpaces>5347</CharactersWithSpaces>
  <Application>WPS Office_11.1.0.13607_F1E327BC-269C-435d-A152-05C5408002CA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2022-06-02T01:34:00Z</dcterms:created>
  <dc:creator>管理员</dc:creator>
  <cp:lastModifiedBy>七号</cp:lastModifiedBy>
  <cp:lastPrinted>2022-05-31T02:00:00Z</cp:lastPrinted>
  <dcterms:modified xsi:type="dcterms:W3CDTF">2022-11-27T12:56:05Z</dcterms:modified>
  <dc:title>中国共产党烟台市委员会（）</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2052-11.1.0.13607</vt:lpwstr>
  </property>
  <property fmtid="{D5CDD505-2E9C-101B-9397-08002B2CF9AE}" pid="3" name="ICV">
    <vt:lpwstr>79463523B4544C0AAADB13B2E3583A69</vt:lpwstr>
  </property>
  <property fmtid="{D5CDD505-2E9C-101B-9397-08002B2CF9AE}" pid="4" name="commondata">
    <vt:lpwstr>eyJoZGlkIjoiYjIzNDg1ZGZmZTUwOWJmNWY0YWJiMTIyZWVmOGEwZjAifQ==</vt:lpwstr>
  </property>
</Properties>
</file>